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2" w:type="dxa"/>
        <w:tblInd w:w="-712" w:type="dxa"/>
        <w:tblLayout w:type="fixed"/>
        <w:tblCellMar>
          <w:left w:w="0" w:type="dxa"/>
          <w:right w:w="0" w:type="dxa"/>
        </w:tblCellMar>
        <w:tblLook w:val="0000" w:firstRow="0" w:lastRow="0" w:firstColumn="0" w:lastColumn="0" w:noHBand="0" w:noVBand="0"/>
      </w:tblPr>
      <w:tblGrid>
        <w:gridCol w:w="2062"/>
        <w:gridCol w:w="8010"/>
      </w:tblGrid>
      <w:tr w:rsidR="006E4526" w:rsidRPr="00867A9C" w14:paraId="78A7FE9D" w14:textId="77777777" w:rsidTr="00C00A96">
        <w:trPr>
          <w:cantSplit/>
          <w:trHeight w:hRule="exact" w:val="1680"/>
        </w:trPr>
        <w:tc>
          <w:tcPr>
            <w:tcW w:w="2062" w:type="dxa"/>
          </w:tcPr>
          <w:p w14:paraId="4D3B06FC" w14:textId="77777777" w:rsidR="006E4526" w:rsidRPr="00867A9C" w:rsidRDefault="006E4526" w:rsidP="00C00A96">
            <w:pPr>
              <w:jc w:val="center"/>
              <w:rPr>
                <w:rFonts w:ascii="CG Times (WN)" w:hAnsi="CG Times (WN)"/>
                <w:color w:val="1F497D"/>
              </w:rPr>
            </w:pPr>
          </w:p>
          <w:p w14:paraId="6C87DF9D" w14:textId="77777777" w:rsidR="006E4526" w:rsidRPr="00867A9C" w:rsidRDefault="006E4526" w:rsidP="00C00A96">
            <w:pPr>
              <w:ind w:left="-288"/>
              <w:rPr>
                <w:color w:val="1F497D"/>
              </w:rPr>
            </w:pPr>
            <w:r>
              <w:rPr>
                <w:noProof/>
              </w:rPr>
              <w:drawing>
                <wp:anchor distT="0" distB="0" distL="114300" distR="114300" simplePos="0" relativeHeight="251659264" behindDoc="0" locked="0" layoutInCell="1" allowOverlap="1" wp14:anchorId="6B31892E" wp14:editId="66689E39">
                  <wp:simplePos x="0" y="0"/>
                  <wp:positionH relativeFrom="column">
                    <wp:posOffset>775970</wp:posOffset>
                  </wp:positionH>
                  <wp:positionV relativeFrom="paragraph">
                    <wp:posOffset>139065</wp:posOffset>
                  </wp:positionV>
                  <wp:extent cx="531495" cy="5314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A83B8" w14:textId="77777777" w:rsidR="006E4526" w:rsidRPr="00036DA3" w:rsidRDefault="006E4526" w:rsidP="00C00A96">
            <w:pPr>
              <w:ind w:right="188"/>
              <w:jc w:val="both"/>
              <w:rPr>
                <w:rFonts w:ascii="Arial" w:hAnsi="Arial" w:cs="Arial"/>
                <w:b/>
                <w:color w:val="1F497D"/>
                <w:sz w:val="68"/>
                <w:szCs w:val="68"/>
              </w:rPr>
            </w:pPr>
            <w:r>
              <w:rPr>
                <w:noProof/>
              </w:rPr>
              <mc:AlternateContent>
                <mc:Choice Requires="wps">
                  <w:drawing>
                    <wp:anchor distT="0" distB="0" distL="114299" distR="114299" simplePos="0" relativeHeight="251660288" behindDoc="0" locked="0" layoutInCell="1" allowOverlap="1" wp14:anchorId="568ADBEE" wp14:editId="28241088">
                      <wp:simplePos x="0" y="0"/>
                      <wp:positionH relativeFrom="column">
                        <wp:posOffset>680719</wp:posOffset>
                      </wp:positionH>
                      <wp:positionV relativeFrom="paragraph">
                        <wp:posOffset>20955</wp:posOffset>
                      </wp:positionV>
                      <wp:extent cx="0" cy="41910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3D5739" id="_x0000_t32" coordsize="21600,21600" o:spt="32" o:oned="t" path="m,l21600,21600e" filled="f">
                      <v:path arrowok="t" fillok="f" o:connecttype="none"/>
                      <o:lock v:ext="edit" shapetype="t"/>
                    </v:shapetype>
                    <v:shape id="Straight Arrow Connector 1" o:spid="_x0000_s1026" type="#_x0000_t32" style="position:absolute;margin-left:53.6pt;margin-top:1.65pt;width:0;height:33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" strokecolor="#1f497d" strokeweight="1pt">
                      <v:shadow color="#243f60" opacity=".5" offset="1pt"/>
                    </v:shape>
                  </w:pict>
                </mc:Fallback>
              </mc:AlternateContent>
            </w:r>
            <w:r w:rsidRPr="00036DA3">
              <w:rPr>
                <w:rFonts w:ascii="Arial" w:hAnsi="Arial" w:cs="Arial"/>
                <w:b/>
                <w:color w:val="1F497D"/>
                <w:sz w:val="68"/>
                <w:szCs w:val="68"/>
              </w:rPr>
              <w:t xml:space="preserve">VA </w:t>
            </w:r>
          </w:p>
        </w:tc>
        <w:tc>
          <w:tcPr>
            <w:tcW w:w="8010" w:type="dxa"/>
          </w:tcPr>
          <w:p w14:paraId="49BC0315" w14:textId="77777777" w:rsidR="006E4526" w:rsidRPr="00867A9C" w:rsidRDefault="006E4526" w:rsidP="00C00A96">
            <w:pPr>
              <w:ind w:left="-288"/>
              <w:jc w:val="center"/>
              <w:rPr>
                <w:rFonts w:ascii="Arial" w:hAnsi="Arial" w:cs="Arial"/>
                <w:b/>
                <w:bCs/>
                <w:color w:val="1F497D"/>
              </w:rPr>
            </w:pPr>
          </w:p>
          <w:p w14:paraId="4CCF2348" w14:textId="77777777" w:rsidR="006E4526" w:rsidRPr="00867A9C" w:rsidRDefault="006E4526" w:rsidP="00C00A96">
            <w:pPr>
              <w:pStyle w:val="Heading3"/>
              <w:jc w:val="left"/>
              <w:rPr>
                <w:rFonts w:ascii="Times New Roman" w:hAnsi="Times New Roman" w:cs="Times New Roman"/>
                <w:color w:val="1F497D"/>
                <w:sz w:val="28"/>
                <w:szCs w:val="28"/>
              </w:rPr>
            </w:pPr>
            <w:r>
              <w:rPr>
                <w:rFonts w:ascii="Times New Roman" w:hAnsi="Times New Roman" w:cs="Times New Roman"/>
                <w:b w:val="0"/>
                <w:color w:val="1F497D"/>
                <w:sz w:val="28"/>
                <w:szCs w:val="28"/>
              </w:rPr>
              <w:t xml:space="preserve">                                  </w:t>
            </w:r>
          </w:p>
          <w:p w14:paraId="41895527" w14:textId="77777777" w:rsidR="006E4526" w:rsidRPr="00867A9C" w:rsidRDefault="006E4526" w:rsidP="00C00A96">
            <w:pPr>
              <w:ind w:left="-278"/>
              <w:rPr>
                <w:b/>
                <w:color w:val="1F497D"/>
                <w:sz w:val="28"/>
                <w:szCs w:val="28"/>
              </w:rPr>
            </w:pPr>
            <w:r>
              <w:rPr>
                <w:b/>
                <w:color w:val="1F497D"/>
                <w:sz w:val="28"/>
                <w:szCs w:val="28"/>
              </w:rPr>
              <w:t xml:space="preserve">    </w:t>
            </w:r>
            <w:r w:rsidRPr="00867A9C">
              <w:rPr>
                <w:b/>
                <w:color w:val="1F497D"/>
                <w:sz w:val="28"/>
                <w:szCs w:val="28"/>
              </w:rPr>
              <w:t xml:space="preserve"> </w:t>
            </w:r>
            <w:r>
              <w:rPr>
                <w:b/>
                <w:color w:val="1F497D"/>
                <w:sz w:val="28"/>
                <w:szCs w:val="28"/>
              </w:rPr>
              <w:t xml:space="preserve"> </w:t>
            </w:r>
            <w:r w:rsidRPr="00867A9C">
              <w:rPr>
                <w:b/>
                <w:color w:val="1F497D"/>
                <w:sz w:val="28"/>
                <w:szCs w:val="28"/>
              </w:rPr>
              <w:t xml:space="preserve">U.S. Department </w:t>
            </w:r>
          </w:p>
          <w:p w14:paraId="4C948465" w14:textId="77777777" w:rsidR="006E4526" w:rsidRPr="00867A9C" w:rsidRDefault="006E4526" w:rsidP="00C00A96">
            <w:r w:rsidRPr="00867A9C">
              <w:rPr>
                <w:b/>
                <w:color w:val="1F497D"/>
                <w:sz w:val="28"/>
                <w:szCs w:val="28"/>
              </w:rPr>
              <w:t xml:space="preserve"> </w:t>
            </w:r>
            <w:r>
              <w:rPr>
                <w:b/>
                <w:color w:val="1F497D"/>
                <w:sz w:val="28"/>
                <w:szCs w:val="28"/>
              </w:rPr>
              <w:t xml:space="preserve"> </w:t>
            </w:r>
            <w:r w:rsidRPr="00867A9C">
              <w:rPr>
                <w:b/>
                <w:color w:val="1F497D"/>
                <w:sz w:val="28"/>
                <w:szCs w:val="28"/>
              </w:rPr>
              <w:t>of Veterans Affairs</w:t>
            </w:r>
          </w:p>
        </w:tc>
      </w:tr>
    </w:tbl>
    <w:p w14:paraId="5FDFCAC3" w14:textId="77777777" w:rsidR="006E4526" w:rsidRPr="006E4526" w:rsidRDefault="006E4526" w:rsidP="006E4526">
      <w:pPr>
        <w:pStyle w:val="Heading2"/>
        <w:rPr>
          <w:rFonts w:ascii="Arial" w:hAnsi="Arial" w:cs="Arial"/>
          <w:b w:val="0"/>
          <w:color w:val="1F497D"/>
          <w:sz w:val="24"/>
          <w:szCs w:val="24"/>
        </w:rPr>
      </w:pPr>
      <w:r w:rsidRPr="006E4526">
        <w:rPr>
          <w:rFonts w:ascii="Arial" w:hAnsi="Arial" w:cs="Arial"/>
          <w:b w:val="0"/>
          <w:color w:val="1F497D"/>
          <w:sz w:val="24"/>
          <w:szCs w:val="24"/>
        </w:rPr>
        <w:t xml:space="preserve">Office of the </w:t>
      </w:r>
      <w:r w:rsidR="00F5760B">
        <w:rPr>
          <w:rFonts w:ascii="Arial" w:hAnsi="Arial" w:cs="Arial"/>
          <w:b w:val="0"/>
          <w:color w:val="1F497D"/>
          <w:sz w:val="24"/>
          <w:szCs w:val="24"/>
        </w:rPr>
        <w:t>Secretary</w:t>
      </w:r>
      <w:r w:rsidRPr="006E4526">
        <w:rPr>
          <w:rFonts w:ascii="Arial" w:hAnsi="Arial" w:cs="Arial"/>
          <w:b w:val="0"/>
          <w:color w:val="1F497D"/>
          <w:sz w:val="24"/>
          <w:szCs w:val="24"/>
        </w:rPr>
        <w:tab/>
      </w:r>
      <w:r w:rsidRPr="006E4526">
        <w:rPr>
          <w:rFonts w:ascii="Arial" w:hAnsi="Arial" w:cs="Arial"/>
          <w:b w:val="0"/>
          <w:color w:val="1F497D"/>
          <w:sz w:val="24"/>
          <w:szCs w:val="24"/>
        </w:rPr>
        <w:tab/>
      </w:r>
      <w:r w:rsidRPr="006E4526">
        <w:rPr>
          <w:rFonts w:ascii="Arial" w:hAnsi="Arial" w:cs="Arial"/>
          <w:b w:val="0"/>
          <w:color w:val="1F497D"/>
          <w:sz w:val="24"/>
          <w:szCs w:val="24"/>
        </w:rPr>
        <w:tab/>
      </w:r>
      <w:r w:rsidRPr="006E4526">
        <w:rPr>
          <w:rFonts w:ascii="Arial" w:hAnsi="Arial" w:cs="Arial"/>
          <w:b w:val="0"/>
          <w:color w:val="1F497D"/>
          <w:sz w:val="24"/>
          <w:szCs w:val="24"/>
        </w:rPr>
        <w:tab/>
      </w:r>
      <w:r w:rsidRPr="006E4526">
        <w:rPr>
          <w:rFonts w:ascii="Arial" w:hAnsi="Arial" w:cs="Arial"/>
          <w:b w:val="0"/>
          <w:color w:val="1F497D"/>
          <w:sz w:val="24"/>
          <w:szCs w:val="24"/>
        </w:rPr>
        <w:tab/>
        <w:t xml:space="preserve">In Reply Refer To: </w:t>
      </w:r>
      <w:r w:rsidR="00F5760B">
        <w:rPr>
          <w:rFonts w:ascii="Arial" w:hAnsi="Arial" w:cs="Arial"/>
          <w:color w:val="1F497D"/>
          <w:sz w:val="24"/>
          <w:szCs w:val="24"/>
        </w:rPr>
        <w:t>00</w:t>
      </w:r>
      <w:r w:rsidRPr="006E4526">
        <w:rPr>
          <w:rFonts w:ascii="Arial" w:hAnsi="Arial" w:cs="Arial"/>
          <w:color w:val="1F497D"/>
          <w:sz w:val="24"/>
          <w:szCs w:val="24"/>
        </w:rPr>
        <w:t>REG</w:t>
      </w:r>
      <w:r w:rsidRPr="006E4526">
        <w:rPr>
          <w:rFonts w:ascii="Arial" w:hAnsi="Arial" w:cs="Arial"/>
          <w:b w:val="0"/>
          <w:color w:val="1F497D"/>
          <w:sz w:val="24"/>
          <w:szCs w:val="24"/>
        </w:rPr>
        <w:t xml:space="preserve"> Washington DC 20420</w:t>
      </w:r>
    </w:p>
    <w:p w14:paraId="27729340" w14:textId="77777777" w:rsidR="00C74CAE" w:rsidRDefault="00C74CAE"/>
    <w:p w14:paraId="7187D41D" w14:textId="77777777" w:rsidR="006E4526" w:rsidRDefault="006E4526"/>
    <w:p w14:paraId="02E162E3" w14:textId="77777777" w:rsidR="006E4526" w:rsidRPr="008C09FE" w:rsidRDefault="006E4526" w:rsidP="006E4526">
      <w:pPr>
        <w:rPr>
          <w:rFonts w:ascii="Arial" w:hAnsi="Arial" w:cs="Arial"/>
        </w:rPr>
      </w:pPr>
      <w:r w:rsidRPr="008C09FE">
        <w:rPr>
          <w:rFonts w:ascii="Arial" w:hAnsi="Arial" w:cs="Arial"/>
        </w:rPr>
        <w:t>Date:</w:t>
      </w:r>
      <w:r>
        <w:rPr>
          <w:rFonts w:ascii="Arial" w:hAnsi="Arial" w:cs="Arial"/>
        </w:rPr>
        <w:t xml:space="preserve">  </w:t>
      </w:r>
      <w:r w:rsidR="006F5386">
        <w:rPr>
          <w:rFonts w:ascii="Arial" w:hAnsi="Arial" w:cs="Arial"/>
        </w:rPr>
        <w:t>August 29, 2016</w:t>
      </w:r>
      <w:r>
        <w:rPr>
          <w:rFonts w:ascii="Arial" w:hAnsi="Arial" w:cs="Arial"/>
        </w:rPr>
        <w:t xml:space="preserve"> </w:t>
      </w:r>
      <w:r w:rsidRPr="008C09FE">
        <w:rPr>
          <w:rFonts w:ascii="Arial" w:hAnsi="Arial" w:cs="Arial"/>
        </w:rPr>
        <w:t xml:space="preserve"> </w:t>
      </w:r>
    </w:p>
    <w:p w14:paraId="1B9B45CE" w14:textId="77777777" w:rsidR="006E4526" w:rsidRPr="008C09FE" w:rsidRDefault="006E4526" w:rsidP="006E4526">
      <w:pPr>
        <w:rPr>
          <w:rFonts w:ascii="Arial" w:hAnsi="Arial" w:cs="Arial"/>
        </w:rPr>
      </w:pPr>
    </w:p>
    <w:p w14:paraId="2ED1B12D" w14:textId="77777777" w:rsidR="00F5760B" w:rsidRDefault="00F5760B" w:rsidP="006E4526">
      <w:pPr>
        <w:rPr>
          <w:rFonts w:ascii="Arial" w:hAnsi="Arial" w:cs="Arial"/>
        </w:rPr>
      </w:pPr>
    </w:p>
    <w:p w14:paraId="3D86E4D0" w14:textId="77777777" w:rsidR="006E4526" w:rsidRDefault="006E4526" w:rsidP="006F5386">
      <w:pPr>
        <w:ind w:left="720" w:hanging="720"/>
        <w:rPr>
          <w:rFonts w:ascii="Arial" w:hAnsi="Arial" w:cs="Arial"/>
        </w:rPr>
      </w:pPr>
      <w:r w:rsidRPr="008C09FE">
        <w:rPr>
          <w:rFonts w:ascii="Arial" w:hAnsi="Arial" w:cs="Arial"/>
        </w:rPr>
        <w:t>Subj:</w:t>
      </w:r>
      <w:r w:rsidRPr="008C09FE">
        <w:rPr>
          <w:rFonts w:ascii="Arial" w:hAnsi="Arial" w:cs="Arial"/>
        </w:rPr>
        <w:tab/>
        <w:t>Economic Impact Analysis for RIN 2900-</w:t>
      </w:r>
      <w:r>
        <w:rPr>
          <w:rFonts w:ascii="Arial" w:hAnsi="Arial" w:cs="Arial"/>
        </w:rPr>
        <w:t>A</w:t>
      </w:r>
      <w:r w:rsidR="006F5386">
        <w:rPr>
          <w:rFonts w:ascii="Arial" w:hAnsi="Arial" w:cs="Arial"/>
        </w:rPr>
        <w:t xml:space="preserve">P66, </w:t>
      </w:r>
      <w:r w:rsidR="006F5386" w:rsidRPr="00EE0D52">
        <w:rPr>
          <w:rFonts w:ascii="Arial" w:hAnsi="Arial" w:cs="Arial"/>
        </w:rPr>
        <w:t>Diseases Associated with Exposure to Contaminants in the Water Supply at Camp Lejeune</w:t>
      </w:r>
    </w:p>
    <w:p w14:paraId="7B04D4C1" w14:textId="77777777" w:rsidR="006E4526" w:rsidRPr="008C09FE" w:rsidRDefault="006E4526" w:rsidP="006E4526">
      <w:pPr>
        <w:rPr>
          <w:rFonts w:ascii="Arial" w:hAnsi="Arial" w:cs="Arial"/>
        </w:rPr>
      </w:pPr>
    </w:p>
    <w:p w14:paraId="0362DE1D" w14:textId="77777777" w:rsidR="00F5760B" w:rsidRDefault="00F5760B" w:rsidP="006E4526">
      <w:pPr>
        <w:tabs>
          <w:tab w:val="left" w:pos="720"/>
          <w:tab w:val="left" w:pos="4320"/>
        </w:tabs>
        <w:rPr>
          <w:rFonts w:ascii="Arial" w:hAnsi="Arial" w:cs="Arial"/>
        </w:rPr>
      </w:pPr>
    </w:p>
    <w:p w14:paraId="02EFA487" w14:textId="77777777" w:rsidR="006E4526" w:rsidRPr="008C09FE" w:rsidRDefault="00F5760B" w:rsidP="006E4526">
      <w:pPr>
        <w:tabs>
          <w:tab w:val="left" w:pos="720"/>
          <w:tab w:val="left" w:pos="4320"/>
        </w:tabs>
        <w:rPr>
          <w:rFonts w:ascii="Arial" w:hAnsi="Arial" w:cs="Arial"/>
        </w:rPr>
      </w:pPr>
      <w:r>
        <w:rPr>
          <w:rFonts w:ascii="Arial" w:hAnsi="Arial" w:cs="Arial"/>
        </w:rPr>
        <w:tab/>
      </w:r>
      <w:r w:rsidR="006E4526" w:rsidRPr="008C09FE">
        <w:rPr>
          <w:rFonts w:ascii="Arial" w:hAnsi="Arial" w:cs="Arial"/>
        </w:rPr>
        <w:t>I have reviewed this rulemaking package and determined the following.</w:t>
      </w:r>
    </w:p>
    <w:p w14:paraId="3E87860A" w14:textId="77777777" w:rsidR="006E4526" w:rsidRPr="008C09FE" w:rsidRDefault="006E4526" w:rsidP="006E4526">
      <w:pPr>
        <w:tabs>
          <w:tab w:val="left" w:pos="720"/>
          <w:tab w:val="left" w:pos="4320"/>
        </w:tabs>
        <w:rPr>
          <w:rFonts w:ascii="Arial" w:hAnsi="Arial" w:cs="Arial"/>
        </w:rPr>
      </w:pPr>
    </w:p>
    <w:p w14:paraId="702E13E9" w14:textId="77777777" w:rsidR="006F5386" w:rsidRDefault="006F5386" w:rsidP="006F5386">
      <w:pPr>
        <w:pStyle w:val="BodyText"/>
      </w:pPr>
      <w:r>
        <w:t xml:space="preserve">1. </w:t>
      </w:r>
      <w:r w:rsidRPr="00D03A0C">
        <w:t>VA has examined the economic, interagency, budgetary, legal, and policy</w:t>
      </w:r>
      <w:r>
        <w:t xml:space="preserve"> </w:t>
      </w:r>
      <w:r w:rsidRPr="00D03A0C">
        <w:t xml:space="preserve">implications of this </w:t>
      </w:r>
      <w:r>
        <w:t xml:space="preserve">regulatory action and </w:t>
      </w:r>
      <w:r w:rsidRPr="00D03A0C">
        <w:t xml:space="preserve">has concluded that it is an economically significant </w:t>
      </w:r>
      <w:r>
        <w:t xml:space="preserve">rule </w:t>
      </w:r>
      <w:r w:rsidRPr="00D03A0C">
        <w:t xml:space="preserve">under Executive Order 12866 because it is likely to result in a </w:t>
      </w:r>
      <w:r>
        <w:t xml:space="preserve">regulatory action that </w:t>
      </w:r>
      <w:r w:rsidRPr="00D03A0C">
        <w:t>may have an annual effect on the economy of $100 million or more</w:t>
      </w:r>
      <w:r>
        <w:t xml:space="preserve">. </w:t>
      </w:r>
    </w:p>
    <w:p w14:paraId="32BEC02A" w14:textId="77777777" w:rsidR="006F5386" w:rsidRDefault="006F5386" w:rsidP="006F5386">
      <w:pPr>
        <w:pStyle w:val="BodyText"/>
      </w:pPr>
    </w:p>
    <w:p w14:paraId="5ADEE219" w14:textId="77777777" w:rsidR="006F5386" w:rsidRPr="00B84961" w:rsidRDefault="006F5386" w:rsidP="006F5386">
      <w:pPr>
        <w:tabs>
          <w:tab w:val="left" w:pos="360"/>
        </w:tabs>
        <w:outlineLvl w:val="0"/>
        <w:rPr>
          <w:rFonts w:ascii="Arial" w:hAnsi="Arial" w:cs="Arial"/>
        </w:rPr>
      </w:pPr>
      <w:r w:rsidRPr="00B84961">
        <w:rPr>
          <w:rFonts w:ascii="Arial" w:hAnsi="Arial" w:cs="Arial"/>
        </w:rPr>
        <w:t>2.</w:t>
      </w:r>
      <w:r>
        <w:rPr>
          <w:rFonts w:ascii="Arial" w:hAnsi="Arial" w:cs="Arial"/>
        </w:rPr>
        <w:t xml:space="preserve"> </w:t>
      </w:r>
      <w:r w:rsidRPr="00B84961">
        <w:rPr>
          <w:rFonts w:ascii="Arial" w:hAnsi="Arial" w:cs="Arial"/>
        </w:rPr>
        <w:t>This regulatory action is also a major rule under the Congressional Review Act, because it is likely to result in an annual effect on the economy of $100 million or more.</w:t>
      </w:r>
      <w:r>
        <w:rPr>
          <w:rFonts w:ascii="Arial" w:hAnsi="Arial" w:cs="Arial"/>
        </w:rPr>
        <w:t xml:space="preserve"> </w:t>
      </w:r>
    </w:p>
    <w:p w14:paraId="3394C6EE" w14:textId="77777777" w:rsidR="006F5386" w:rsidRDefault="006F5386" w:rsidP="006E4526">
      <w:pPr>
        <w:pStyle w:val="BodyText"/>
      </w:pPr>
    </w:p>
    <w:p w14:paraId="6DA056E0" w14:textId="77777777" w:rsidR="006E4526" w:rsidRPr="008C09FE" w:rsidRDefault="006F5386" w:rsidP="006E4526">
      <w:pPr>
        <w:pStyle w:val="BodyText"/>
      </w:pPr>
      <w:r>
        <w:t>3</w:t>
      </w:r>
      <w:r w:rsidR="006E4526" w:rsidRPr="008C09FE">
        <w:t xml:space="preserve">.  This rulemaking will not have a significant economic impact on a substantial number of small entities under the Regulatory Flexibility Act, 5 U.S.C. 601-612.   </w:t>
      </w:r>
    </w:p>
    <w:p w14:paraId="3B31B4FA" w14:textId="77777777" w:rsidR="006E4526" w:rsidRPr="008C09FE" w:rsidRDefault="006E4526" w:rsidP="006E4526">
      <w:pPr>
        <w:pStyle w:val="BodyText"/>
      </w:pPr>
    </w:p>
    <w:p w14:paraId="7CF8C058" w14:textId="77777777" w:rsidR="006E4526" w:rsidRPr="008C09FE" w:rsidRDefault="006F5386" w:rsidP="006E4526">
      <w:pPr>
        <w:rPr>
          <w:rFonts w:ascii="Arial" w:hAnsi="Arial" w:cs="Arial"/>
        </w:rPr>
      </w:pPr>
      <w:r>
        <w:rPr>
          <w:rFonts w:ascii="Arial" w:hAnsi="Arial" w:cs="Arial"/>
        </w:rPr>
        <w:t>4</w:t>
      </w:r>
      <w:r w:rsidR="006E4526" w:rsidRPr="008C09FE">
        <w:rPr>
          <w:rFonts w:ascii="Arial" w:hAnsi="Arial" w:cs="Arial"/>
        </w:rPr>
        <w:t xml:space="preserve">.  This rulemaking will not result in the expenditure of $100 million or more by State, local, and tribal governments, in the aggregate, or by the private sector, under the Unfunded Mandates Reform Act of 1995, 2 U.S.C. 1532. </w:t>
      </w:r>
    </w:p>
    <w:p w14:paraId="6DF7F4E4" w14:textId="77777777" w:rsidR="006E4526" w:rsidRPr="008C09FE" w:rsidRDefault="006E4526" w:rsidP="006E4526">
      <w:pPr>
        <w:pStyle w:val="BodyText"/>
      </w:pPr>
    </w:p>
    <w:p w14:paraId="5C7AB1A8" w14:textId="77777777" w:rsidR="006E4526" w:rsidRPr="008C09FE" w:rsidRDefault="006F5386" w:rsidP="006E4526">
      <w:pPr>
        <w:pStyle w:val="BodyText"/>
      </w:pPr>
      <w:r>
        <w:t>5</w:t>
      </w:r>
      <w:r w:rsidR="006E4526" w:rsidRPr="008C09FE">
        <w:t xml:space="preserve">.  Attached please find the relevant cost impact documents. </w:t>
      </w:r>
    </w:p>
    <w:p w14:paraId="69FE6A59" w14:textId="77777777" w:rsidR="006E4526" w:rsidRPr="008C09FE" w:rsidRDefault="006E4526" w:rsidP="006E4526">
      <w:pPr>
        <w:pStyle w:val="BodyText"/>
      </w:pPr>
    </w:p>
    <w:p w14:paraId="6042BCE2" w14:textId="77777777" w:rsidR="006E4526" w:rsidRDefault="006E4526" w:rsidP="006E4526">
      <w:pPr>
        <w:pStyle w:val="BodyText"/>
      </w:pPr>
      <w:r w:rsidRPr="008C09FE">
        <w:rPr>
          <w:b/>
        </w:rPr>
        <w:t>(</w:t>
      </w:r>
      <w:r>
        <w:rPr>
          <w:b/>
        </w:rPr>
        <w:t>Attachment 1</w:t>
      </w:r>
      <w:r w:rsidRPr="008C09FE">
        <w:rPr>
          <w:b/>
        </w:rPr>
        <w:t>):</w:t>
      </w:r>
      <w:r>
        <w:t xml:space="preserve">  </w:t>
      </w:r>
      <w:r w:rsidRPr="008C09FE">
        <w:t>Agenc</w:t>
      </w:r>
      <w:r>
        <w:t xml:space="preserve">y’s </w:t>
      </w:r>
      <w:r w:rsidRPr="008C09FE">
        <w:t xml:space="preserve">Impact Analysis, dated </w:t>
      </w:r>
      <w:r w:rsidR="006F5386">
        <w:t>August 15, 2016</w:t>
      </w:r>
    </w:p>
    <w:p w14:paraId="7B552129" w14:textId="77777777" w:rsidR="006E4526" w:rsidRPr="0081693B" w:rsidRDefault="006E4526" w:rsidP="006E4526">
      <w:pPr>
        <w:pStyle w:val="BodyText"/>
        <w:rPr>
          <w:b/>
        </w:rPr>
      </w:pPr>
      <w:r w:rsidRPr="0081693B">
        <w:rPr>
          <w:b/>
        </w:rPr>
        <w:t xml:space="preserve">(Attachment 2): </w:t>
      </w:r>
      <w:r w:rsidRPr="008C09FE">
        <w:t>CFO Concurrence memo, dated</w:t>
      </w:r>
      <w:r>
        <w:t xml:space="preserve"> </w:t>
      </w:r>
      <w:r w:rsidR="006F5386">
        <w:t>August 15, 2016</w:t>
      </w:r>
    </w:p>
    <w:p w14:paraId="0BE613CA" w14:textId="77777777" w:rsidR="006E4526" w:rsidRDefault="006E4526" w:rsidP="006E4526">
      <w:pPr>
        <w:pStyle w:val="BodyText"/>
      </w:pPr>
    </w:p>
    <w:p w14:paraId="1491E375" w14:textId="77777777" w:rsidR="006E4526" w:rsidRPr="008C09FE" w:rsidRDefault="006E4526" w:rsidP="006E4526">
      <w:pPr>
        <w:pStyle w:val="BodyText"/>
      </w:pPr>
    </w:p>
    <w:p w14:paraId="3BCFC663" w14:textId="77777777" w:rsidR="006E4526" w:rsidRPr="008C09FE" w:rsidRDefault="006E4526" w:rsidP="006E4526">
      <w:pPr>
        <w:ind w:right="-720"/>
        <w:rPr>
          <w:rFonts w:ascii="Arial" w:hAnsi="Arial" w:cs="Arial"/>
        </w:rPr>
      </w:pPr>
      <w:r w:rsidRPr="008C09FE">
        <w:rPr>
          <w:rFonts w:ascii="Arial" w:hAnsi="Arial" w:cs="Arial"/>
          <w:b/>
        </w:rPr>
        <w:t>Approved by:</w:t>
      </w:r>
    </w:p>
    <w:p w14:paraId="2CFA975D" w14:textId="77777777" w:rsidR="006E4526" w:rsidRPr="006E4526" w:rsidRDefault="006E4526" w:rsidP="006E4526">
      <w:pPr>
        <w:ind w:right="-720"/>
        <w:rPr>
          <w:rFonts w:ascii="Arial" w:hAnsi="Arial" w:cs="Arial"/>
        </w:rPr>
      </w:pPr>
      <w:r w:rsidRPr="006E4526">
        <w:rPr>
          <w:rFonts w:ascii="Arial" w:hAnsi="Arial" w:cs="Arial"/>
        </w:rPr>
        <w:t>Michael P. Shores</w:t>
      </w:r>
      <w:r>
        <w:rPr>
          <w:rFonts w:ascii="Arial" w:hAnsi="Arial" w:cs="Arial"/>
        </w:rPr>
        <w:t>, MSRC</w:t>
      </w:r>
      <w:r w:rsidRPr="006E4526">
        <w:rPr>
          <w:rFonts w:ascii="Arial" w:hAnsi="Arial" w:cs="Arial"/>
        </w:rPr>
        <w:t xml:space="preserve"> </w:t>
      </w:r>
    </w:p>
    <w:p w14:paraId="248D84A2" w14:textId="77777777" w:rsidR="006E4526" w:rsidRDefault="00F5760B" w:rsidP="006E4526">
      <w:pPr>
        <w:ind w:right="-720"/>
        <w:rPr>
          <w:rFonts w:ascii="Arial" w:hAnsi="Arial" w:cs="Arial"/>
        </w:rPr>
      </w:pPr>
      <w:r>
        <w:rPr>
          <w:rFonts w:ascii="Arial" w:hAnsi="Arial" w:cs="Arial"/>
        </w:rPr>
        <w:t xml:space="preserve">Acting, Director </w:t>
      </w:r>
      <w:r w:rsidR="006E4526" w:rsidRPr="006E4526">
        <w:rPr>
          <w:rFonts w:ascii="Arial" w:hAnsi="Arial" w:cs="Arial"/>
          <w:bCs/>
        </w:rPr>
        <w:t>Regulation Policy &amp; Management</w:t>
      </w:r>
      <w:r w:rsidR="006E4526">
        <w:rPr>
          <w:rFonts w:ascii="Arial" w:hAnsi="Arial" w:cs="Arial"/>
          <w:bCs/>
        </w:rPr>
        <w:t xml:space="preserve"> </w:t>
      </w:r>
      <w:r w:rsidR="006E4526" w:rsidRPr="006E4526">
        <w:rPr>
          <w:rFonts w:ascii="Arial" w:hAnsi="Arial" w:cs="Arial"/>
        </w:rPr>
        <w:t>(</w:t>
      </w:r>
      <w:r>
        <w:rPr>
          <w:rFonts w:ascii="Arial" w:hAnsi="Arial" w:cs="Arial"/>
        </w:rPr>
        <w:t>00</w:t>
      </w:r>
      <w:r w:rsidR="006E4526" w:rsidRPr="006E4526">
        <w:rPr>
          <w:rFonts w:ascii="Arial" w:hAnsi="Arial" w:cs="Arial"/>
        </w:rPr>
        <w:t>REG)</w:t>
      </w:r>
    </w:p>
    <w:p w14:paraId="6425F704" w14:textId="77777777" w:rsidR="006E4526" w:rsidRPr="006E4526" w:rsidRDefault="006E4526" w:rsidP="006E4526">
      <w:pPr>
        <w:ind w:right="-720"/>
        <w:rPr>
          <w:rFonts w:ascii="Arial" w:hAnsi="Arial" w:cs="Arial"/>
          <w:bCs/>
        </w:rPr>
      </w:pPr>
      <w:r w:rsidRPr="006E4526">
        <w:rPr>
          <w:rFonts w:ascii="Arial" w:hAnsi="Arial" w:cs="Arial"/>
          <w:bCs/>
        </w:rPr>
        <w:t xml:space="preserve">Office of the </w:t>
      </w:r>
      <w:r w:rsidR="00F5760B">
        <w:rPr>
          <w:rFonts w:ascii="Arial" w:hAnsi="Arial" w:cs="Arial"/>
          <w:bCs/>
        </w:rPr>
        <w:t>Secretary</w:t>
      </w:r>
    </w:p>
    <w:p w14:paraId="1F824F30" w14:textId="77777777" w:rsidR="006E4526" w:rsidRPr="006E4526" w:rsidRDefault="006E4526" w:rsidP="006E4526">
      <w:pPr>
        <w:rPr>
          <w:rFonts w:ascii="Arial" w:hAnsi="Arial" w:cs="Arial"/>
        </w:rPr>
      </w:pPr>
    </w:p>
    <w:p w14:paraId="6524AC24" w14:textId="77777777" w:rsidR="006E4526" w:rsidRPr="006E4526" w:rsidRDefault="006E4526" w:rsidP="006E4526">
      <w:pPr>
        <w:rPr>
          <w:rFonts w:ascii="Arial" w:hAnsi="Arial" w:cs="Arial"/>
        </w:rPr>
      </w:pPr>
    </w:p>
    <w:p w14:paraId="4AECDAC3" w14:textId="77777777" w:rsidR="006E4526" w:rsidRPr="006E4526" w:rsidRDefault="006E4526" w:rsidP="006E4526">
      <w:pPr>
        <w:rPr>
          <w:rFonts w:ascii="Arial" w:hAnsi="Arial" w:cs="Arial"/>
        </w:rPr>
      </w:pPr>
    </w:p>
    <w:p w14:paraId="7B914413" w14:textId="77777777" w:rsidR="006E4526" w:rsidRPr="006E4526" w:rsidRDefault="006E4526" w:rsidP="006E4526">
      <w:pPr>
        <w:rPr>
          <w:rFonts w:ascii="Arial" w:hAnsi="Arial" w:cs="Arial"/>
        </w:rPr>
      </w:pPr>
    </w:p>
    <w:p w14:paraId="0EED99EC" w14:textId="77777777" w:rsidR="006E4526" w:rsidRPr="006E4526" w:rsidRDefault="006E4526" w:rsidP="006E4526">
      <w:pPr>
        <w:rPr>
          <w:rFonts w:ascii="Arial" w:hAnsi="Arial" w:cs="Arial"/>
        </w:rPr>
      </w:pPr>
    </w:p>
    <w:p w14:paraId="10F2DB3F" w14:textId="77777777" w:rsidR="006E4526" w:rsidRDefault="006E4526" w:rsidP="006E4526">
      <w:pPr>
        <w:jc w:val="center"/>
        <w:rPr>
          <w:rFonts w:ascii="Arial" w:hAnsi="Arial" w:cs="Arial"/>
          <w:b/>
        </w:rPr>
      </w:pPr>
    </w:p>
    <w:p w14:paraId="4FD1CABD" w14:textId="77777777" w:rsidR="006F5386" w:rsidRPr="006F5386" w:rsidRDefault="006F5386" w:rsidP="006F5386">
      <w:pPr>
        <w:jc w:val="center"/>
        <w:rPr>
          <w:rFonts w:ascii="Arial" w:hAnsi="Arial" w:cs="Arial"/>
          <w:b/>
          <w:color w:val="000000"/>
        </w:rPr>
      </w:pPr>
      <w:r w:rsidRPr="006F5386">
        <w:rPr>
          <w:rFonts w:ascii="Arial" w:hAnsi="Arial" w:cs="Arial"/>
          <w:b/>
          <w:color w:val="000000"/>
        </w:rPr>
        <w:t>(Attachment 1)</w:t>
      </w:r>
    </w:p>
    <w:p w14:paraId="3E5BA01C" w14:textId="77777777" w:rsidR="006F5386" w:rsidRPr="006F5386" w:rsidRDefault="006F5386" w:rsidP="006F5386">
      <w:pPr>
        <w:jc w:val="center"/>
        <w:rPr>
          <w:rFonts w:ascii="Arial" w:hAnsi="Arial" w:cs="Arial"/>
          <w:b/>
          <w:color w:val="000000"/>
        </w:rPr>
      </w:pPr>
    </w:p>
    <w:p w14:paraId="5C1A17C7" w14:textId="77777777" w:rsidR="006F5386" w:rsidRPr="006F5386" w:rsidRDefault="006F5386" w:rsidP="006F5386">
      <w:pPr>
        <w:jc w:val="center"/>
        <w:rPr>
          <w:rFonts w:ascii="Arial" w:hAnsi="Arial" w:cs="Arial"/>
          <w:b/>
          <w:color w:val="000000"/>
        </w:rPr>
      </w:pPr>
      <w:r w:rsidRPr="006F5386">
        <w:rPr>
          <w:rFonts w:ascii="Arial" w:hAnsi="Arial" w:cs="Arial"/>
          <w:b/>
          <w:color w:val="000000"/>
        </w:rPr>
        <w:t xml:space="preserve">Regulatory Impact Analysis (RIA) for RIN 2900-AP66 </w:t>
      </w:r>
    </w:p>
    <w:p w14:paraId="700F23AD" w14:textId="77777777" w:rsidR="006F5386" w:rsidRPr="006F5386" w:rsidRDefault="006F5386" w:rsidP="006F5386">
      <w:pPr>
        <w:pStyle w:val="Heading1"/>
        <w:rPr>
          <w:rFonts w:ascii="Arial" w:hAnsi="Arial" w:cs="Arial"/>
          <w:b w:val="0"/>
          <w:color w:val="auto"/>
          <w:sz w:val="24"/>
          <w:szCs w:val="24"/>
        </w:rPr>
      </w:pPr>
      <w:r w:rsidRPr="006F5386">
        <w:rPr>
          <w:rFonts w:ascii="Arial" w:hAnsi="Arial" w:cs="Arial"/>
          <w:color w:val="auto"/>
          <w:sz w:val="24"/>
          <w:szCs w:val="24"/>
        </w:rPr>
        <w:t>Title of Regulation:</w:t>
      </w:r>
      <w:r w:rsidRPr="006F5386">
        <w:rPr>
          <w:rFonts w:ascii="Arial" w:hAnsi="Arial" w:cs="Arial"/>
          <w:b w:val="0"/>
          <w:color w:val="auto"/>
          <w:sz w:val="24"/>
          <w:szCs w:val="24"/>
        </w:rPr>
        <w:t xml:space="preserve">  Diseases Associated with Exposure to Contaminants in the Water Supply at Camp Lejeune</w:t>
      </w:r>
    </w:p>
    <w:p w14:paraId="0FD8A3C1" w14:textId="77777777" w:rsidR="006F5386" w:rsidRPr="006F5386" w:rsidRDefault="006F5386" w:rsidP="006F5386">
      <w:pPr>
        <w:rPr>
          <w:rFonts w:ascii="Arial" w:hAnsi="Arial" w:cs="Arial"/>
        </w:rPr>
      </w:pPr>
    </w:p>
    <w:p w14:paraId="050ED8FE" w14:textId="77777777" w:rsidR="006F5386" w:rsidRPr="006F5386" w:rsidRDefault="006F5386" w:rsidP="006F5386">
      <w:pPr>
        <w:jc w:val="both"/>
        <w:rPr>
          <w:rFonts w:ascii="Arial" w:hAnsi="Arial" w:cs="Arial"/>
          <w:b/>
          <w:smallCaps/>
        </w:rPr>
      </w:pPr>
      <w:r w:rsidRPr="006F5386">
        <w:rPr>
          <w:rFonts w:ascii="Arial" w:hAnsi="Arial" w:cs="Arial"/>
          <w:b/>
        </w:rPr>
        <w:t xml:space="preserve">Purpose:  </w:t>
      </w:r>
      <w:r w:rsidRPr="006F5386">
        <w:rPr>
          <w:rFonts w:ascii="Arial" w:hAnsi="Arial" w:cs="Arial"/>
        </w:rPr>
        <w:t>To determine the economic impact of this rulemaking.</w:t>
      </w:r>
      <w:r w:rsidRPr="006F5386">
        <w:rPr>
          <w:rFonts w:ascii="Arial" w:hAnsi="Arial" w:cs="Arial"/>
          <w:color w:val="FF0000"/>
        </w:rPr>
        <w:t xml:space="preserve"> </w:t>
      </w:r>
    </w:p>
    <w:p w14:paraId="25A72C64" w14:textId="77777777" w:rsidR="006F5386" w:rsidRPr="006F5386" w:rsidRDefault="006F5386" w:rsidP="006F5386">
      <w:pPr>
        <w:jc w:val="both"/>
        <w:rPr>
          <w:rFonts w:ascii="Arial" w:hAnsi="Arial" w:cs="Arial"/>
          <w:b/>
        </w:rPr>
      </w:pPr>
    </w:p>
    <w:p w14:paraId="195EC0F0" w14:textId="77777777" w:rsidR="006F5386" w:rsidRPr="006F5386" w:rsidRDefault="006F5386" w:rsidP="006F5386">
      <w:pPr>
        <w:rPr>
          <w:rFonts w:ascii="Arial" w:hAnsi="Arial" w:cs="Arial"/>
        </w:rPr>
      </w:pPr>
      <w:r w:rsidRPr="006F5386">
        <w:rPr>
          <w:rFonts w:ascii="Arial" w:hAnsi="Arial" w:cs="Arial"/>
          <w:b/>
          <w:bCs/>
        </w:rPr>
        <w:t>The Need for the Regulatory Action</w:t>
      </w:r>
      <w:r w:rsidRPr="006F5386">
        <w:rPr>
          <w:rFonts w:ascii="Arial" w:hAnsi="Arial" w:cs="Arial"/>
          <w:b/>
        </w:rPr>
        <w:t>:</w:t>
      </w:r>
      <w:r w:rsidRPr="006F5386">
        <w:rPr>
          <w:rFonts w:ascii="Arial" w:hAnsi="Arial" w:cs="Arial"/>
        </w:rPr>
        <w:t xml:space="preserve">  </w:t>
      </w:r>
    </w:p>
    <w:p w14:paraId="631C6B09" w14:textId="77777777" w:rsidR="006F5386" w:rsidRPr="006F5386" w:rsidRDefault="006F5386" w:rsidP="006F5386">
      <w:pPr>
        <w:rPr>
          <w:rFonts w:ascii="Arial" w:hAnsi="Arial" w:cs="Arial"/>
        </w:rPr>
      </w:pPr>
    </w:p>
    <w:p w14:paraId="54432CC8" w14:textId="77777777" w:rsidR="006F5386" w:rsidRPr="006F5386" w:rsidRDefault="006F5386" w:rsidP="006F5386">
      <w:pPr>
        <w:rPr>
          <w:rFonts w:ascii="Arial" w:hAnsi="Arial" w:cs="Arial"/>
        </w:rPr>
      </w:pPr>
      <w:r w:rsidRPr="006F5386">
        <w:rPr>
          <w:rFonts w:ascii="Arial" w:hAnsi="Arial" w:cs="Arial"/>
        </w:rPr>
        <w:t xml:space="preserve">The Secretary has determined that proof of qualifying service at Camp Lejeune and the subsequent development of one or more of the eight disabilities identified by the Technical Working Group (TWG) is sufficient to support proposing a presumption that the resulting disability was incurred in the line of duty during active military, naval, or air service, to include qualifying reserve or National Guard service, to establish entitlement to service connection. </w:t>
      </w:r>
    </w:p>
    <w:p w14:paraId="3019DFCE" w14:textId="77777777" w:rsidR="006F5386" w:rsidRPr="006F5386" w:rsidRDefault="006F5386" w:rsidP="006F5386">
      <w:pPr>
        <w:rPr>
          <w:rFonts w:ascii="Arial" w:hAnsi="Arial" w:cs="Arial"/>
        </w:rPr>
      </w:pPr>
    </w:p>
    <w:p w14:paraId="6BABB1EF" w14:textId="77777777" w:rsidR="006F5386" w:rsidRPr="006F5386" w:rsidRDefault="006F5386" w:rsidP="006F5386">
      <w:pPr>
        <w:rPr>
          <w:rFonts w:ascii="Arial" w:hAnsi="Arial" w:cs="Arial"/>
        </w:rPr>
      </w:pPr>
      <w:r w:rsidRPr="006F5386">
        <w:rPr>
          <w:rFonts w:ascii="Arial" w:hAnsi="Arial" w:cs="Arial"/>
        </w:rPr>
        <w:t xml:space="preserve">The TWG’s assessment relied on a hazard evaluation model, focusing on the conclusions of internationally respected expert scientific bodies (the Environmental Protection Agency’s Integrated Risk Information System (EPA/IRIS), the National Institute of Health’s National Toxicology Program (NIH/NTP), the World Health Organization’s International Agency for Research on Cancer (WHO/IARC), and the National Academies of Sciences’ National Research Council and Institute of Medicine (NAS/NRC/IOM)).  These organizations were chosen for their rigorous expert selection and peer review processes to ensure objective and nuanced conclusions. The TWG did not take into account the estimated levels of contamination in the water at Camp Lejeune and therefore could not characterize any risk associated with a specific level of exposure to contaminated water.  </w:t>
      </w:r>
    </w:p>
    <w:p w14:paraId="34D5FE55" w14:textId="77777777" w:rsidR="006F5386" w:rsidRPr="006F5386" w:rsidRDefault="006F5386" w:rsidP="006F5386">
      <w:pPr>
        <w:pStyle w:val="CommentText"/>
        <w:rPr>
          <w:rFonts w:cs="Arial"/>
          <w:sz w:val="24"/>
          <w:szCs w:val="24"/>
        </w:rPr>
      </w:pPr>
      <w:r w:rsidRPr="006F5386">
        <w:rPr>
          <w:rFonts w:cs="Arial"/>
          <w:sz w:val="24"/>
          <w:szCs w:val="24"/>
        </w:rPr>
        <w:t xml:space="preserve"> </w:t>
      </w:r>
    </w:p>
    <w:p w14:paraId="108ADAEC" w14:textId="77777777" w:rsidR="006F5386" w:rsidRPr="006F5386" w:rsidRDefault="006F5386" w:rsidP="006F5386">
      <w:pPr>
        <w:rPr>
          <w:rFonts w:ascii="Arial" w:hAnsi="Arial" w:cs="Arial"/>
        </w:rPr>
      </w:pPr>
      <w:r w:rsidRPr="006F5386">
        <w:rPr>
          <w:rFonts w:ascii="Arial" w:hAnsi="Arial" w:cs="Arial"/>
        </w:rPr>
        <w:t xml:space="preserve">As the available scientific evidence does not provide specific data on exposure levels, VA therefore proposes to use the health care provisions of Public Law 112-154, and its prior implementation of the statute, as a guide to ensure consistency and parity with both the statute and existing healthcare regulations.  Specifically, VA proposes to presume exposure to contaminants in the water at Camp Lejeune for all active duty, reserve, and National Guard personnel who served for at least 30 days (consecutive or nonconsecutive) at Camp Lejeune during the period beginning August 1, 1953, and ending on December 31, 1987.  The mortality and source site for these conditions is listed in the table below.  </w:t>
      </w:r>
    </w:p>
    <w:p w14:paraId="39FD539F" w14:textId="77777777" w:rsidR="006F5386" w:rsidRPr="006F5386" w:rsidRDefault="006F5386" w:rsidP="006F5386">
      <w:pPr>
        <w:rPr>
          <w:rFonts w:ascii="Arial" w:hAnsi="Arial" w:cs="Arial"/>
        </w:rPr>
      </w:pPr>
    </w:p>
    <w:p w14:paraId="467DC3F7" w14:textId="77777777" w:rsidR="006F5386" w:rsidRPr="006F5386" w:rsidRDefault="006F5386" w:rsidP="006F5386">
      <w:pPr>
        <w:rPr>
          <w:rFonts w:ascii="Arial" w:hAnsi="Arial" w:cs="Arial"/>
        </w:rPr>
      </w:pPr>
    </w:p>
    <w:p w14:paraId="61D3C653" w14:textId="77777777" w:rsidR="006F5386" w:rsidRDefault="006F5386" w:rsidP="006F5386">
      <w:pPr>
        <w:rPr>
          <w:rFonts w:ascii="Arial" w:hAnsi="Arial" w:cs="Arial"/>
        </w:rPr>
      </w:pPr>
    </w:p>
    <w:p w14:paraId="146C5810" w14:textId="77777777" w:rsidR="006F5386" w:rsidRDefault="006F5386" w:rsidP="006F5386">
      <w:pPr>
        <w:rPr>
          <w:rFonts w:ascii="Arial" w:hAnsi="Arial" w:cs="Arial"/>
        </w:rPr>
      </w:pPr>
    </w:p>
    <w:p w14:paraId="1B7B2599" w14:textId="77777777" w:rsidR="006F5386" w:rsidRDefault="006F5386" w:rsidP="006F5386">
      <w:pPr>
        <w:rPr>
          <w:rFonts w:ascii="Arial" w:hAnsi="Arial" w:cs="Arial"/>
        </w:rPr>
      </w:pPr>
    </w:p>
    <w:p w14:paraId="5E5E1281" w14:textId="77777777" w:rsidR="006F5386" w:rsidRDefault="006F5386" w:rsidP="006F5386">
      <w:pPr>
        <w:rPr>
          <w:rFonts w:ascii="Arial" w:hAnsi="Arial" w:cs="Arial"/>
        </w:rPr>
      </w:pPr>
    </w:p>
    <w:p w14:paraId="59F8DA58" w14:textId="77777777" w:rsidR="006F5386" w:rsidRDefault="006F5386" w:rsidP="006F5386">
      <w:pPr>
        <w:rPr>
          <w:rFonts w:ascii="Arial" w:hAnsi="Arial" w:cs="Arial"/>
        </w:rPr>
      </w:pPr>
    </w:p>
    <w:p w14:paraId="3ADD48FF" w14:textId="77777777" w:rsidR="006F5386" w:rsidRDefault="006F5386" w:rsidP="006F5386">
      <w:pPr>
        <w:rPr>
          <w:rFonts w:ascii="Arial" w:hAnsi="Arial" w:cs="Arial"/>
        </w:rPr>
      </w:pPr>
    </w:p>
    <w:p w14:paraId="56462F1C" w14:textId="77777777" w:rsidR="006F5386" w:rsidRDefault="006F5386" w:rsidP="006F5386">
      <w:pPr>
        <w:rPr>
          <w:rFonts w:ascii="Arial" w:hAnsi="Arial" w:cs="Arial"/>
        </w:rPr>
      </w:pPr>
    </w:p>
    <w:p w14:paraId="5D8A2228" w14:textId="77777777" w:rsidR="006F5386" w:rsidRPr="006F5386" w:rsidRDefault="006F5386" w:rsidP="006F5386">
      <w:pPr>
        <w:rPr>
          <w:rFonts w:ascii="Arial" w:hAnsi="Arial" w:cs="Arial"/>
        </w:rPr>
      </w:pPr>
    </w:p>
    <w:p w14:paraId="174D4255" w14:textId="77777777" w:rsidR="006F5386" w:rsidRPr="006F5386" w:rsidRDefault="006F5386" w:rsidP="006F5386">
      <w:pPr>
        <w:rPr>
          <w:rFonts w:ascii="Arial" w:hAnsi="Arial" w:cs="Arial"/>
          <w:b/>
        </w:rPr>
      </w:pPr>
      <w:r w:rsidRPr="006F5386">
        <w:rPr>
          <w:rFonts w:ascii="Arial" w:hAnsi="Arial" w:cs="Arial"/>
          <w:b/>
        </w:rPr>
        <w:t>Table – Proposed Diseases</w:t>
      </w:r>
    </w:p>
    <w:tbl>
      <w:tblPr>
        <w:tblW w:w="9285" w:type="dxa"/>
        <w:tblInd w:w="93" w:type="dxa"/>
        <w:tblLook w:val="04A0" w:firstRow="1" w:lastRow="0" w:firstColumn="1" w:lastColumn="0" w:noHBand="0" w:noVBand="1"/>
      </w:tblPr>
      <w:tblGrid>
        <w:gridCol w:w="2768"/>
        <w:gridCol w:w="1219"/>
        <w:gridCol w:w="5298"/>
      </w:tblGrid>
      <w:tr w:rsidR="006F5386" w:rsidRPr="006F5386" w14:paraId="1CD1D8DB" w14:textId="77777777" w:rsidTr="00E73F0F">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67CA4" w14:textId="77777777" w:rsidR="006F5386" w:rsidRPr="006F5386" w:rsidRDefault="006F5386" w:rsidP="00E73F0F">
            <w:pPr>
              <w:rPr>
                <w:rFonts w:ascii="Arial" w:hAnsi="Arial" w:cs="Arial"/>
                <w:b/>
                <w:bCs/>
                <w:color w:val="000000"/>
              </w:rPr>
            </w:pPr>
            <w:r w:rsidRPr="006F5386">
              <w:rPr>
                <w:rFonts w:ascii="Arial" w:hAnsi="Arial" w:cs="Arial"/>
                <w:b/>
                <w:bCs/>
                <w:color w:val="000000"/>
              </w:rPr>
              <w:t>Conditions</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5018572D" w14:textId="77777777" w:rsidR="006F5386" w:rsidRPr="006F5386" w:rsidRDefault="006F5386" w:rsidP="00E73F0F">
            <w:pPr>
              <w:rPr>
                <w:rFonts w:ascii="Arial" w:hAnsi="Arial" w:cs="Arial"/>
                <w:b/>
                <w:bCs/>
                <w:color w:val="000000"/>
              </w:rPr>
            </w:pPr>
            <w:r w:rsidRPr="006F5386">
              <w:rPr>
                <w:rFonts w:ascii="Arial" w:hAnsi="Arial" w:cs="Arial"/>
                <w:b/>
                <w:bCs/>
                <w:color w:val="000000"/>
              </w:rPr>
              <w:t>Mortality</w:t>
            </w:r>
          </w:p>
        </w:tc>
        <w:tc>
          <w:tcPr>
            <w:tcW w:w="4945" w:type="dxa"/>
            <w:tcBorders>
              <w:top w:val="single" w:sz="4" w:space="0" w:color="auto"/>
              <w:left w:val="nil"/>
              <w:bottom w:val="single" w:sz="4" w:space="0" w:color="auto"/>
              <w:right w:val="single" w:sz="4" w:space="0" w:color="auto"/>
            </w:tcBorders>
            <w:shd w:val="clear" w:color="auto" w:fill="auto"/>
            <w:vAlign w:val="center"/>
            <w:hideMark/>
          </w:tcPr>
          <w:p w14:paraId="50D52AA5" w14:textId="77777777" w:rsidR="006F5386" w:rsidRPr="006F5386" w:rsidRDefault="006F5386" w:rsidP="00E73F0F">
            <w:pPr>
              <w:jc w:val="center"/>
              <w:rPr>
                <w:rFonts w:ascii="Arial" w:hAnsi="Arial" w:cs="Arial"/>
                <w:b/>
                <w:bCs/>
                <w:color w:val="000000"/>
              </w:rPr>
            </w:pPr>
            <w:r w:rsidRPr="006F5386">
              <w:rPr>
                <w:rFonts w:ascii="Arial" w:hAnsi="Arial" w:cs="Arial"/>
                <w:b/>
                <w:bCs/>
                <w:color w:val="000000"/>
              </w:rPr>
              <w:t>Source</w:t>
            </w:r>
          </w:p>
        </w:tc>
      </w:tr>
      <w:tr w:rsidR="006F5386" w:rsidRPr="006F5386" w14:paraId="0169CD30" w14:textId="77777777" w:rsidTr="00E73F0F">
        <w:trPr>
          <w:trHeight w:val="60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39790607" w14:textId="77777777" w:rsidR="006F5386" w:rsidRPr="006F5386" w:rsidRDefault="006F5386" w:rsidP="00E73F0F">
            <w:pPr>
              <w:rPr>
                <w:rFonts w:ascii="Arial" w:hAnsi="Arial" w:cs="Arial"/>
                <w:color w:val="000000"/>
              </w:rPr>
            </w:pPr>
            <w:r w:rsidRPr="006F5386">
              <w:rPr>
                <w:rFonts w:ascii="Arial" w:hAnsi="Arial" w:cs="Arial"/>
                <w:color w:val="000000"/>
              </w:rPr>
              <w:t>Kidney Cancer</w:t>
            </w:r>
          </w:p>
        </w:tc>
        <w:tc>
          <w:tcPr>
            <w:tcW w:w="1220" w:type="dxa"/>
            <w:tcBorders>
              <w:top w:val="nil"/>
              <w:left w:val="nil"/>
              <w:bottom w:val="single" w:sz="4" w:space="0" w:color="auto"/>
              <w:right w:val="single" w:sz="4" w:space="0" w:color="auto"/>
            </w:tcBorders>
            <w:shd w:val="clear" w:color="auto" w:fill="auto"/>
            <w:vAlign w:val="center"/>
            <w:hideMark/>
          </w:tcPr>
          <w:p w14:paraId="72E9046B" w14:textId="77777777" w:rsidR="006F5386" w:rsidRPr="006F5386" w:rsidRDefault="006F5386" w:rsidP="00E73F0F">
            <w:pPr>
              <w:jc w:val="center"/>
              <w:rPr>
                <w:rFonts w:ascii="Arial" w:hAnsi="Arial" w:cs="Arial"/>
                <w:color w:val="000000"/>
              </w:rPr>
            </w:pPr>
            <w:r w:rsidRPr="006F5386">
              <w:rPr>
                <w:rFonts w:ascii="Arial" w:hAnsi="Arial" w:cs="Arial"/>
                <w:color w:val="000000"/>
              </w:rPr>
              <w:t>5.3%</w:t>
            </w:r>
          </w:p>
        </w:tc>
        <w:tc>
          <w:tcPr>
            <w:tcW w:w="4945" w:type="dxa"/>
            <w:tcBorders>
              <w:top w:val="nil"/>
              <w:left w:val="nil"/>
              <w:bottom w:val="single" w:sz="4" w:space="0" w:color="auto"/>
              <w:right w:val="single" w:sz="4" w:space="0" w:color="auto"/>
            </w:tcBorders>
            <w:shd w:val="clear" w:color="auto" w:fill="auto"/>
            <w:vAlign w:val="bottom"/>
            <w:hideMark/>
          </w:tcPr>
          <w:p w14:paraId="705B80D1" w14:textId="77777777" w:rsidR="006F5386" w:rsidRPr="006F5386" w:rsidRDefault="006F5386" w:rsidP="00E73F0F">
            <w:pPr>
              <w:rPr>
                <w:rFonts w:ascii="Arial" w:hAnsi="Arial" w:cs="Arial"/>
                <w:color w:val="000000"/>
              </w:rPr>
            </w:pPr>
            <w:r w:rsidRPr="006F5386">
              <w:rPr>
                <w:rFonts w:ascii="Arial" w:hAnsi="Arial" w:cs="Arial"/>
                <w:color w:val="000000"/>
              </w:rPr>
              <w:t>http://seer.cancer.gov/statfacts/html/kidrp.html</w:t>
            </w:r>
            <w:r w:rsidRPr="006F5386">
              <w:rPr>
                <w:rFonts w:ascii="Arial" w:hAnsi="Arial" w:cs="Arial"/>
                <w:color w:val="000000"/>
              </w:rPr>
              <w:br/>
              <w:t>5-year survival %: 73.7%</w:t>
            </w:r>
          </w:p>
        </w:tc>
      </w:tr>
      <w:tr w:rsidR="006F5386" w:rsidRPr="006F5386" w14:paraId="1770B8B4" w14:textId="77777777" w:rsidTr="00E73F0F">
        <w:trPr>
          <w:trHeight w:val="60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52F15645" w14:textId="77777777" w:rsidR="006F5386" w:rsidRPr="006F5386" w:rsidRDefault="006F5386" w:rsidP="00E73F0F">
            <w:pPr>
              <w:rPr>
                <w:rFonts w:ascii="Arial" w:hAnsi="Arial" w:cs="Arial"/>
                <w:color w:val="000000"/>
              </w:rPr>
            </w:pPr>
            <w:r w:rsidRPr="006F5386">
              <w:rPr>
                <w:rFonts w:ascii="Arial" w:hAnsi="Arial" w:cs="Arial"/>
                <w:color w:val="000000"/>
              </w:rPr>
              <w:t>Non-</w:t>
            </w:r>
            <w:proofErr w:type="spellStart"/>
            <w:r w:rsidRPr="006F5386">
              <w:rPr>
                <w:rFonts w:ascii="Arial" w:hAnsi="Arial" w:cs="Arial"/>
                <w:color w:val="000000"/>
              </w:rPr>
              <w:t>Hodgkins</w:t>
            </w:r>
            <w:proofErr w:type="spellEnd"/>
            <w:r w:rsidRPr="006F5386">
              <w:rPr>
                <w:rFonts w:ascii="Arial" w:hAnsi="Arial" w:cs="Arial"/>
                <w:color w:val="000000"/>
              </w:rPr>
              <w:t xml:space="preserve"> Lymphoma</w:t>
            </w:r>
          </w:p>
        </w:tc>
        <w:tc>
          <w:tcPr>
            <w:tcW w:w="1220" w:type="dxa"/>
            <w:tcBorders>
              <w:top w:val="nil"/>
              <w:left w:val="nil"/>
              <w:bottom w:val="single" w:sz="4" w:space="0" w:color="auto"/>
              <w:right w:val="single" w:sz="4" w:space="0" w:color="auto"/>
            </w:tcBorders>
            <w:shd w:val="clear" w:color="auto" w:fill="auto"/>
            <w:vAlign w:val="center"/>
            <w:hideMark/>
          </w:tcPr>
          <w:p w14:paraId="0F8778E0" w14:textId="77777777" w:rsidR="006F5386" w:rsidRPr="006F5386" w:rsidRDefault="006F5386" w:rsidP="00E73F0F">
            <w:pPr>
              <w:jc w:val="center"/>
              <w:rPr>
                <w:rFonts w:ascii="Arial" w:hAnsi="Arial" w:cs="Arial"/>
                <w:color w:val="000000"/>
              </w:rPr>
            </w:pPr>
            <w:r w:rsidRPr="006F5386">
              <w:rPr>
                <w:rFonts w:ascii="Arial" w:hAnsi="Arial" w:cs="Arial"/>
                <w:color w:val="000000"/>
              </w:rPr>
              <w:t>5.9%</w:t>
            </w:r>
          </w:p>
        </w:tc>
        <w:tc>
          <w:tcPr>
            <w:tcW w:w="4945" w:type="dxa"/>
            <w:tcBorders>
              <w:top w:val="nil"/>
              <w:left w:val="nil"/>
              <w:bottom w:val="single" w:sz="4" w:space="0" w:color="auto"/>
              <w:right w:val="single" w:sz="4" w:space="0" w:color="auto"/>
            </w:tcBorders>
            <w:shd w:val="clear" w:color="auto" w:fill="auto"/>
            <w:vAlign w:val="bottom"/>
            <w:hideMark/>
          </w:tcPr>
          <w:p w14:paraId="5B34E637" w14:textId="77777777" w:rsidR="006F5386" w:rsidRPr="006F5386" w:rsidRDefault="006F5386" w:rsidP="00E73F0F">
            <w:pPr>
              <w:rPr>
                <w:rFonts w:ascii="Arial" w:hAnsi="Arial" w:cs="Arial"/>
                <w:color w:val="000000"/>
              </w:rPr>
            </w:pPr>
            <w:r w:rsidRPr="006F5386">
              <w:rPr>
                <w:rFonts w:ascii="Arial" w:hAnsi="Arial" w:cs="Arial"/>
                <w:color w:val="000000"/>
              </w:rPr>
              <w:t>http://seer.cancer.gov/statfacts/html/nhl.html</w:t>
            </w:r>
            <w:r w:rsidRPr="006F5386">
              <w:rPr>
                <w:rFonts w:ascii="Arial" w:hAnsi="Arial" w:cs="Arial"/>
                <w:color w:val="000000"/>
              </w:rPr>
              <w:br/>
              <w:t>5 year Survival%: 70.7%</w:t>
            </w:r>
          </w:p>
        </w:tc>
      </w:tr>
      <w:tr w:rsidR="006F5386" w:rsidRPr="006F5386" w14:paraId="6F972E21" w14:textId="77777777" w:rsidTr="00E73F0F">
        <w:trPr>
          <w:trHeight w:val="60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5A6A9A5F" w14:textId="27FB7152" w:rsidR="006F5386" w:rsidRPr="006F5386" w:rsidRDefault="006F5386" w:rsidP="00E73F0F">
            <w:pPr>
              <w:rPr>
                <w:rFonts w:ascii="Arial" w:hAnsi="Arial" w:cs="Arial"/>
                <w:color w:val="000000"/>
              </w:rPr>
            </w:pPr>
            <w:r w:rsidRPr="006F5386">
              <w:rPr>
                <w:rFonts w:ascii="Arial" w:hAnsi="Arial" w:cs="Arial"/>
                <w:color w:val="000000"/>
              </w:rPr>
              <w:t xml:space="preserve">Multiple </w:t>
            </w:r>
            <w:r w:rsidR="008354F5" w:rsidRPr="006F5386">
              <w:rPr>
                <w:rFonts w:ascii="Arial" w:hAnsi="Arial" w:cs="Arial"/>
                <w:color w:val="000000"/>
              </w:rPr>
              <w:t>Myeloma</w:t>
            </w:r>
          </w:p>
        </w:tc>
        <w:tc>
          <w:tcPr>
            <w:tcW w:w="1220" w:type="dxa"/>
            <w:tcBorders>
              <w:top w:val="nil"/>
              <w:left w:val="nil"/>
              <w:bottom w:val="single" w:sz="4" w:space="0" w:color="auto"/>
              <w:right w:val="single" w:sz="4" w:space="0" w:color="auto"/>
            </w:tcBorders>
            <w:shd w:val="clear" w:color="auto" w:fill="auto"/>
            <w:vAlign w:val="center"/>
            <w:hideMark/>
          </w:tcPr>
          <w:p w14:paraId="46B10534" w14:textId="77777777" w:rsidR="006F5386" w:rsidRPr="006F5386" w:rsidRDefault="006F5386" w:rsidP="00E73F0F">
            <w:pPr>
              <w:jc w:val="center"/>
              <w:rPr>
                <w:rFonts w:ascii="Arial" w:hAnsi="Arial" w:cs="Arial"/>
                <w:color w:val="000000"/>
              </w:rPr>
            </w:pPr>
            <w:r w:rsidRPr="006F5386">
              <w:rPr>
                <w:rFonts w:ascii="Arial" w:hAnsi="Arial" w:cs="Arial"/>
                <w:color w:val="000000"/>
              </w:rPr>
              <w:t>10.3%</w:t>
            </w:r>
          </w:p>
        </w:tc>
        <w:tc>
          <w:tcPr>
            <w:tcW w:w="4945" w:type="dxa"/>
            <w:tcBorders>
              <w:top w:val="nil"/>
              <w:left w:val="nil"/>
              <w:bottom w:val="single" w:sz="4" w:space="0" w:color="auto"/>
              <w:right w:val="single" w:sz="4" w:space="0" w:color="auto"/>
            </w:tcBorders>
            <w:shd w:val="clear" w:color="auto" w:fill="auto"/>
            <w:vAlign w:val="bottom"/>
            <w:hideMark/>
          </w:tcPr>
          <w:p w14:paraId="10217BCD" w14:textId="77777777" w:rsidR="006F5386" w:rsidRPr="006F5386" w:rsidRDefault="006F5386" w:rsidP="00E73F0F">
            <w:pPr>
              <w:rPr>
                <w:rFonts w:ascii="Arial" w:hAnsi="Arial" w:cs="Arial"/>
                <w:color w:val="000000"/>
              </w:rPr>
            </w:pPr>
            <w:r w:rsidRPr="006F5386">
              <w:rPr>
                <w:rFonts w:ascii="Arial" w:hAnsi="Arial" w:cs="Arial"/>
                <w:color w:val="000000"/>
              </w:rPr>
              <w:t>http://seer.cancer.gov/statfacts/html/mulmy.html</w:t>
            </w:r>
            <w:r w:rsidRPr="006F5386">
              <w:rPr>
                <w:rFonts w:ascii="Arial" w:hAnsi="Arial" w:cs="Arial"/>
                <w:color w:val="000000"/>
              </w:rPr>
              <w:br/>
              <w:t>5 year Survival%: 48.5%</w:t>
            </w:r>
          </w:p>
        </w:tc>
      </w:tr>
      <w:tr w:rsidR="006F5386" w:rsidRPr="006F5386" w14:paraId="23CD4655" w14:textId="77777777" w:rsidTr="00E73F0F">
        <w:trPr>
          <w:trHeight w:val="60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15D18CD8" w14:textId="77777777" w:rsidR="006F5386" w:rsidRPr="006F5386" w:rsidRDefault="006F5386" w:rsidP="00E73F0F">
            <w:pPr>
              <w:rPr>
                <w:rFonts w:ascii="Arial" w:hAnsi="Arial" w:cs="Arial"/>
                <w:color w:val="000000"/>
              </w:rPr>
            </w:pPr>
            <w:proofErr w:type="spellStart"/>
            <w:r w:rsidRPr="006F5386">
              <w:rPr>
                <w:rFonts w:ascii="Arial" w:hAnsi="Arial" w:cs="Arial"/>
                <w:color w:val="000000"/>
              </w:rPr>
              <w:t>Leukemias</w:t>
            </w:r>
            <w:proofErr w:type="spellEnd"/>
          </w:p>
        </w:tc>
        <w:tc>
          <w:tcPr>
            <w:tcW w:w="1220" w:type="dxa"/>
            <w:tcBorders>
              <w:top w:val="nil"/>
              <w:left w:val="nil"/>
              <w:bottom w:val="single" w:sz="4" w:space="0" w:color="auto"/>
              <w:right w:val="single" w:sz="4" w:space="0" w:color="auto"/>
            </w:tcBorders>
            <w:shd w:val="clear" w:color="auto" w:fill="auto"/>
            <w:vAlign w:val="center"/>
            <w:hideMark/>
          </w:tcPr>
          <w:p w14:paraId="231500D4" w14:textId="77777777" w:rsidR="006F5386" w:rsidRPr="006F5386" w:rsidRDefault="006F5386" w:rsidP="00E73F0F">
            <w:pPr>
              <w:jc w:val="center"/>
              <w:rPr>
                <w:rFonts w:ascii="Arial" w:hAnsi="Arial" w:cs="Arial"/>
                <w:color w:val="000000"/>
              </w:rPr>
            </w:pPr>
            <w:r w:rsidRPr="006F5386">
              <w:rPr>
                <w:rFonts w:ascii="Arial" w:hAnsi="Arial" w:cs="Arial"/>
                <w:color w:val="000000"/>
              </w:rPr>
              <w:t>8.1%</w:t>
            </w:r>
          </w:p>
        </w:tc>
        <w:tc>
          <w:tcPr>
            <w:tcW w:w="4945" w:type="dxa"/>
            <w:tcBorders>
              <w:top w:val="nil"/>
              <w:left w:val="nil"/>
              <w:bottom w:val="single" w:sz="4" w:space="0" w:color="auto"/>
              <w:right w:val="single" w:sz="4" w:space="0" w:color="auto"/>
            </w:tcBorders>
            <w:shd w:val="clear" w:color="auto" w:fill="auto"/>
            <w:vAlign w:val="bottom"/>
            <w:hideMark/>
          </w:tcPr>
          <w:p w14:paraId="77CD8DFE" w14:textId="77777777" w:rsidR="006F5386" w:rsidRPr="006F5386" w:rsidRDefault="006F5386" w:rsidP="00E73F0F">
            <w:pPr>
              <w:rPr>
                <w:rFonts w:ascii="Arial" w:hAnsi="Arial" w:cs="Arial"/>
                <w:color w:val="000000"/>
              </w:rPr>
            </w:pPr>
            <w:r w:rsidRPr="006F5386">
              <w:rPr>
                <w:rFonts w:ascii="Arial" w:hAnsi="Arial" w:cs="Arial"/>
                <w:color w:val="000000"/>
              </w:rPr>
              <w:t>http://seer.cancer.gov/statfacts/html/leuks.html</w:t>
            </w:r>
            <w:r w:rsidRPr="006F5386">
              <w:rPr>
                <w:rFonts w:ascii="Arial" w:hAnsi="Arial" w:cs="Arial"/>
                <w:color w:val="000000"/>
              </w:rPr>
              <w:br/>
              <w:t>5 year Survival%: 59.7%</w:t>
            </w:r>
          </w:p>
        </w:tc>
      </w:tr>
      <w:tr w:rsidR="006F5386" w:rsidRPr="006F5386" w14:paraId="3CA65C01" w14:textId="77777777" w:rsidTr="00E73F0F">
        <w:trPr>
          <w:trHeight w:val="60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150FE480" w14:textId="77777777" w:rsidR="006F5386" w:rsidRPr="006F5386" w:rsidRDefault="006F5386" w:rsidP="00E73F0F">
            <w:pPr>
              <w:rPr>
                <w:rFonts w:ascii="Arial" w:hAnsi="Arial" w:cs="Arial"/>
                <w:color w:val="000000"/>
              </w:rPr>
            </w:pPr>
            <w:r w:rsidRPr="006F5386">
              <w:rPr>
                <w:rFonts w:ascii="Arial" w:hAnsi="Arial" w:cs="Arial"/>
                <w:color w:val="000000"/>
              </w:rPr>
              <w:t>Liver Cancer</w:t>
            </w:r>
          </w:p>
        </w:tc>
        <w:tc>
          <w:tcPr>
            <w:tcW w:w="1220" w:type="dxa"/>
            <w:tcBorders>
              <w:top w:val="nil"/>
              <w:left w:val="nil"/>
              <w:bottom w:val="single" w:sz="4" w:space="0" w:color="auto"/>
              <w:right w:val="single" w:sz="4" w:space="0" w:color="auto"/>
            </w:tcBorders>
            <w:shd w:val="clear" w:color="auto" w:fill="auto"/>
            <w:vAlign w:val="center"/>
            <w:hideMark/>
          </w:tcPr>
          <w:p w14:paraId="1DBDD021" w14:textId="77777777" w:rsidR="006F5386" w:rsidRPr="006F5386" w:rsidRDefault="006F5386" w:rsidP="00E73F0F">
            <w:pPr>
              <w:jc w:val="center"/>
              <w:rPr>
                <w:rFonts w:ascii="Arial" w:hAnsi="Arial" w:cs="Arial"/>
                <w:color w:val="000000"/>
              </w:rPr>
            </w:pPr>
            <w:r w:rsidRPr="006F5386">
              <w:rPr>
                <w:rFonts w:ascii="Arial" w:hAnsi="Arial" w:cs="Arial"/>
                <w:color w:val="000000"/>
              </w:rPr>
              <w:t>16.5%</w:t>
            </w:r>
          </w:p>
        </w:tc>
        <w:tc>
          <w:tcPr>
            <w:tcW w:w="4945" w:type="dxa"/>
            <w:tcBorders>
              <w:top w:val="nil"/>
              <w:left w:val="nil"/>
              <w:bottom w:val="single" w:sz="4" w:space="0" w:color="auto"/>
              <w:right w:val="single" w:sz="4" w:space="0" w:color="auto"/>
            </w:tcBorders>
            <w:shd w:val="clear" w:color="auto" w:fill="auto"/>
            <w:vAlign w:val="bottom"/>
            <w:hideMark/>
          </w:tcPr>
          <w:p w14:paraId="15E63C5C" w14:textId="77777777" w:rsidR="006F5386" w:rsidRPr="006F5386" w:rsidRDefault="006F5386" w:rsidP="00E73F0F">
            <w:pPr>
              <w:rPr>
                <w:rFonts w:ascii="Arial" w:hAnsi="Arial" w:cs="Arial"/>
                <w:color w:val="000000"/>
              </w:rPr>
            </w:pPr>
            <w:r w:rsidRPr="006F5386">
              <w:rPr>
                <w:rFonts w:ascii="Arial" w:hAnsi="Arial" w:cs="Arial"/>
                <w:color w:val="000000"/>
              </w:rPr>
              <w:t>http://seer.cancer.gov/statfacts/html/livibd.html</w:t>
            </w:r>
            <w:r w:rsidRPr="006F5386">
              <w:rPr>
                <w:rFonts w:ascii="Arial" w:hAnsi="Arial" w:cs="Arial"/>
                <w:color w:val="000000"/>
              </w:rPr>
              <w:br/>
              <w:t>5 year Survival%: 17.5%</w:t>
            </w:r>
          </w:p>
        </w:tc>
      </w:tr>
      <w:tr w:rsidR="006F5386" w:rsidRPr="006F5386" w14:paraId="4560E3A4" w14:textId="77777777" w:rsidTr="00E73F0F">
        <w:trPr>
          <w:trHeight w:val="60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5524703F" w14:textId="77777777" w:rsidR="006F5386" w:rsidRPr="006F5386" w:rsidRDefault="006F5386" w:rsidP="00E73F0F">
            <w:pPr>
              <w:rPr>
                <w:rFonts w:ascii="Arial" w:hAnsi="Arial" w:cs="Arial"/>
                <w:color w:val="000000"/>
              </w:rPr>
            </w:pPr>
            <w:proofErr w:type="spellStart"/>
            <w:r w:rsidRPr="006F5386">
              <w:rPr>
                <w:rFonts w:ascii="Arial" w:hAnsi="Arial" w:cs="Arial"/>
                <w:color w:val="000000"/>
              </w:rPr>
              <w:t>Parkinsons</w:t>
            </w:r>
            <w:proofErr w:type="spellEnd"/>
            <w:r w:rsidRPr="006F5386">
              <w:rPr>
                <w:rFonts w:ascii="Arial" w:hAnsi="Arial" w:cs="Arial"/>
                <w:color w:val="000000"/>
              </w:rPr>
              <w:t xml:space="preserve"> Disease</w:t>
            </w:r>
          </w:p>
        </w:tc>
        <w:tc>
          <w:tcPr>
            <w:tcW w:w="1220" w:type="dxa"/>
            <w:tcBorders>
              <w:top w:val="nil"/>
              <w:left w:val="nil"/>
              <w:bottom w:val="single" w:sz="4" w:space="0" w:color="auto"/>
              <w:right w:val="single" w:sz="4" w:space="0" w:color="auto"/>
            </w:tcBorders>
            <w:shd w:val="clear" w:color="auto" w:fill="auto"/>
            <w:vAlign w:val="center"/>
            <w:hideMark/>
          </w:tcPr>
          <w:p w14:paraId="71F31193" w14:textId="77777777" w:rsidR="006F5386" w:rsidRPr="006F5386" w:rsidRDefault="006F5386" w:rsidP="00E73F0F">
            <w:pPr>
              <w:jc w:val="center"/>
              <w:rPr>
                <w:rFonts w:ascii="Arial" w:hAnsi="Arial" w:cs="Arial"/>
                <w:color w:val="000000"/>
              </w:rPr>
            </w:pPr>
            <w:r w:rsidRPr="006F5386">
              <w:rPr>
                <w:rFonts w:ascii="Arial" w:hAnsi="Arial" w:cs="Arial"/>
                <w:color w:val="000000"/>
              </w:rPr>
              <w:t>2.4%</w:t>
            </w:r>
          </w:p>
        </w:tc>
        <w:tc>
          <w:tcPr>
            <w:tcW w:w="4945" w:type="dxa"/>
            <w:tcBorders>
              <w:top w:val="nil"/>
              <w:left w:val="nil"/>
              <w:bottom w:val="single" w:sz="4" w:space="0" w:color="auto"/>
              <w:right w:val="single" w:sz="4" w:space="0" w:color="auto"/>
            </w:tcBorders>
            <w:shd w:val="clear" w:color="auto" w:fill="auto"/>
            <w:vAlign w:val="bottom"/>
            <w:hideMark/>
          </w:tcPr>
          <w:p w14:paraId="14F63BCD" w14:textId="77777777" w:rsidR="006F5386" w:rsidRPr="006F5386" w:rsidRDefault="006F5386" w:rsidP="00E73F0F">
            <w:pPr>
              <w:rPr>
                <w:rFonts w:ascii="Arial" w:hAnsi="Arial" w:cs="Arial"/>
                <w:color w:val="000000"/>
              </w:rPr>
            </w:pPr>
            <w:r w:rsidRPr="006F5386">
              <w:rPr>
                <w:rFonts w:ascii="Arial" w:hAnsi="Arial" w:cs="Arial"/>
                <w:color w:val="000000"/>
              </w:rPr>
              <w:t>http://www.ssa.gov/oact/STATS/table4c6.html</w:t>
            </w:r>
            <w:r w:rsidRPr="006F5386">
              <w:rPr>
                <w:rFonts w:ascii="Arial" w:hAnsi="Arial" w:cs="Arial"/>
                <w:color w:val="000000"/>
              </w:rPr>
              <w:br/>
              <w:t>Age 70 general mortality: 2.4%</w:t>
            </w:r>
          </w:p>
        </w:tc>
      </w:tr>
      <w:tr w:rsidR="006F5386" w:rsidRPr="006F5386" w14:paraId="5D406AE3" w14:textId="77777777" w:rsidTr="00E73F0F">
        <w:trPr>
          <w:trHeight w:val="60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3109DEF3" w14:textId="77777777" w:rsidR="006F5386" w:rsidRPr="006F5386" w:rsidRDefault="006F5386" w:rsidP="00E73F0F">
            <w:pPr>
              <w:rPr>
                <w:rFonts w:ascii="Arial" w:hAnsi="Arial" w:cs="Arial"/>
                <w:color w:val="000000"/>
              </w:rPr>
            </w:pPr>
            <w:r w:rsidRPr="006F5386">
              <w:rPr>
                <w:rFonts w:ascii="Arial" w:hAnsi="Arial" w:cs="Arial"/>
                <w:color w:val="000000"/>
              </w:rPr>
              <w:t>myelodysplastic syndromes</w:t>
            </w:r>
          </w:p>
        </w:tc>
        <w:tc>
          <w:tcPr>
            <w:tcW w:w="1220" w:type="dxa"/>
            <w:tcBorders>
              <w:top w:val="nil"/>
              <w:left w:val="nil"/>
              <w:bottom w:val="single" w:sz="4" w:space="0" w:color="auto"/>
              <w:right w:val="single" w:sz="4" w:space="0" w:color="auto"/>
            </w:tcBorders>
            <w:shd w:val="clear" w:color="auto" w:fill="auto"/>
            <w:vAlign w:val="center"/>
            <w:hideMark/>
          </w:tcPr>
          <w:p w14:paraId="62BAD7FB" w14:textId="77777777" w:rsidR="006F5386" w:rsidRPr="006F5386" w:rsidRDefault="006F5386" w:rsidP="00E73F0F">
            <w:pPr>
              <w:jc w:val="center"/>
              <w:rPr>
                <w:rFonts w:ascii="Arial" w:hAnsi="Arial" w:cs="Arial"/>
                <w:color w:val="000000"/>
              </w:rPr>
            </w:pPr>
            <w:r w:rsidRPr="006F5386">
              <w:rPr>
                <w:rFonts w:ascii="Arial" w:hAnsi="Arial" w:cs="Arial"/>
                <w:color w:val="000000"/>
              </w:rPr>
              <w:t>8.1%</w:t>
            </w:r>
          </w:p>
        </w:tc>
        <w:tc>
          <w:tcPr>
            <w:tcW w:w="4945" w:type="dxa"/>
            <w:tcBorders>
              <w:top w:val="nil"/>
              <w:left w:val="nil"/>
              <w:bottom w:val="single" w:sz="4" w:space="0" w:color="auto"/>
              <w:right w:val="single" w:sz="4" w:space="0" w:color="auto"/>
            </w:tcBorders>
            <w:shd w:val="clear" w:color="auto" w:fill="auto"/>
            <w:vAlign w:val="center"/>
            <w:hideMark/>
          </w:tcPr>
          <w:p w14:paraId="34FCB1DE" w14:textId="77777777" w:rsidR="006F5386" w:rsidRPr="006F5386" w:rsidRDefault="006F5386" w:rsidP="00E73F0F">
            <w:pPr>
              <w:rPr>
                <w:rFonts w:ascii="Arial" w:hAnsi="Arial" w:cs="Arial"/>
                <w:color w:val="000000"/>
              </w:rPr>
            </w:pPr>
            <w:r w:rsidRPr="006F5386">
              <w:rPr>
                <w:rFonts w:ascii="Arial" w:hAnsi="Arial" w:cs="Arial"/>
                <w:color w:val="000000"/>
              </w:rPr>
              <w:t xml:space="preserve">Data not found; however is associated with </w:t>
            </w:r>
            <w:proofErr w:type="spellStart"/>
            <w:r w:rsidRPr="006F5386">
              <w:rPr>
                <w:rFonts w:ascii="Arial" w:hAnsi="Arial" w:cs="Arial"/>
                <w:color w:val="000000"/>
              </w:rPr>
              <w:t>leukemias</w:t>
            </w:r>
            <w:proofErr w:type="spellEnd"/>
            <w:r w:rsidRPr="006F5386">
              <w:rPr>
                <w:rFonts w:ascii="Arial" w:hAnsi="Arial" w:cs="Arial"/>
                <w:color w:val="000000"/>
              </w:rPr>
              <w:t xml:space="preserve"> - therefore assumed same mortality as leukemia</w:t>
            </w:r>
          </w:p>
        </w:tc>
      </w:tr>
      <w:tr w:rsidR="006F5386" w:rsidRPr="006F5386" w14:paraId="5E449FCC" w14:textId="77777777" w:rsidTr="00E73F0F">
        <w:trPr>
          <w:trHeight w:val="600"/>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0B516D1F" w14:textId="77777777" w:rsidR="006F5386" w:rsidRPr="006F5386" w:rsidRDefault="006F5386" w:rsidP="00E73F0F">
            <w:pPr>
              <w:rPr>
                <w:rFonts w:ascii="Arial" w:hAnsi="Arial" w:cs="Arial"/>
                <w:color w:val="000000"/>
              </w:rPr>
            </w:pPr>
            <w:r w:rsidRPr="006F5386">
              <w:rPr>
                <w:rFonts w:ascii="Arial" w:hAnsi="Arial" w:cs="Arial"/>
                <w:color w:val="000000"/>
              </w:rPr>
              <w:t>Bladder Cancer</w:t>
            </w:r>
          </w:p>
        </w:tc>
        <w:tc>
          <w:tcPr>
            <w:tcW w:w="1220" w:type="dxa"/>
            <w:tcBorders>
              <w:top w:val="nil"/>
              <w:left w:val="nil"/>
              <w:bottom w:val="single" w:sz="4" w:space="0" w:color="auto"/>
              <w:right w:val="single" w:sz="4" w:space="0" w:color="auto"/>
            </w:tcBorders>
            <w:shd w:val="clear" w:color="auto" w:fill="auto"/>
            <w:vAlign w:val="center"/>
            <w:hideMark/>
          </w:tcPr>
          <w:p w14:paraId="4DD3EBE4" w14:textId="77777777" w:rsidR="006F5386" w:rsidRPr="006F5386" w:rsidRDefault="006F5386" w:rsidP="00E73F0F">
            <w:pPr>
              <w:jc w:val="center"/>
              <w:rPr>
                <w:rFonts w:ascii="Arial" w:hAnsi="Arial" w:cs="Arial"/>
                <w:color w:val="000000"/>
              </w:rPr>
            </w:pPr>
            <w:r w:rsidRPr="006F5386">
              <w:rPr>
                <w:rFonts w:ascii="Arial" w:hAnsi="Arial" w:cs="Arial"/>
                <w:color w:val="000000"/>
              </w:rPr>
              <w:t>4.5%</w:t>
            </w:r>
          </w:p>
        </w:tc>
        <w:tc>
          <w:tcPr>
            <w:tcW w:w="4945" w:type="dxa"/>
            <w:tcBorders>
              <w:top w:val="nil"/>
              <w:left w:val="nil"/>
              <w:bottom w:val="single" w:sz="4" w:space="0" w:color="auto"/>
              <w:right w:val="single" w:sz="4" w:space="0" w:color="auto"/>
            </w:tcBorders>
            <w:shd w:val="clear" w:color="auto" w:fill="auto"/>
            <w:vAlign w:val="bottom"/>
            <w:hideMark/>
          </w:tcPr>
          <w:p w14:paraId="560D7B6B" w14:textId="77777777" w:rsidR="006F5386" w:rsidRPr="006F5386" w:rsidRDefault="006F5386" w:rsidP="00E73F0F">
            <w:pPr>
              <w:rPr>
                <w:rFonts w:ascii="Arial" w:hAnsi="Arial" w:cs="Arial"/>
                <w:color w:val="000000"/>
              </w:rPr>
            </w:pPr>
            <w:r w:rsidRPr="006F5386">
              <w:rPr>
                <w:rFonts w:ascii="Arial" w:hAnsi="Arial" w:cs="Arial"/>
                <w:color w:val="000000"/>
              </w:rPr>
              <w:t>http://seer.cancer.gov/statfacts/html/urinb.html</w:t>
            </w:r>
            <w:r w:rsidRPr="006F5386">
              <w:rPr>
                <w:rFonts w:ascii="Arial" w:hAnsi="Arial" w:cs="Arial"/>
                <w:color w:val="000000"/>
              </w:rPr>
              <w:br/>
              <w:t>5 year Survival%: 77.5%</w:t>
            </w:r>
          </w:p>
        </w:tc>
      </w:tr>
    </w:tbl>
    <w:p w14:paraId="09B32C7B" w14:textId="77777777" w:rsidR="006F5386" w:rsidRPr="006F5386" w:rsidRDefault="006F5386" w:rsidP="006F5386">
      <w:pPr>
        <w:pStyle w:val="Heading1"/>
        <w:rPr>
          <w:rFonts w:ascii="Arial" w:hAnsi="Arial" w:cs="Arial"/>
          <w:b w:val="0"/>
          <w:color w:val="auto"/>
          <w:sz w:val="24"/>
          <w:szCs w:val="24"/>
        </w:rPr>
      </w:pPr>
      <w:r w:rsidRPr="006F5386">
        <w:rPr>
          <w:rFonts w:ascii="Arial" w:hAnsi="Arial" w:cs="Arial"/>
          <w:b w:val="0"/>
          <w:color w:val="auto"/>
          <w:sz w:val="24"/>
          <w:szCs w:val="24"/>
        </w:rPr>
        <w:t>This methodology estimates the potential budgetary impact of VA presuming service connection for these eight conditions for veterans, former reservists, and former National Guard members who served at Camp Lejeune during the period of water contamination for at least 30 days (consecutive or nonconsecutive).</w:t>
      </w:r>
    </w:p>
    <w:p w14:paraId="39BE1638" w14:textId="77777777" w:rsidR="006F5386" w:rsidRPr="006F5386" w:rsidRDefault="006F5386" w:rsidP="006F5386">
      <w:pPr>
        <w:rPr>
          <w:rFonts w:ascii="Arial" w:hAnsi="Arial" w:cs="Arial"/>
        </w:rPr>
      </w:pPr>
    </w:p>
    <w:p w14:paraId="4C672A46" w14:textId="77777777" w:rsidR="006F5386" w:rsidRPr="006F5386" w:rsidRDefault="006F5386" w:rsidP="006F5386">
      <w:pPr>
        <w:rPr>
          <w:rFonts w:ascii="Arial" w:hAnsi="Arial" w:cs="Arial"/>
          <w:u w:val="single"/>
        </w:rPr>
      </w:pPr>
      <w:r w:rsidRPr="006F5386">
        <w:rPr>
          <w:rFonts w:ascii="Arial" w:hAnsi="Arial" w:cs="Arial"/>
          <w:b/>
        </w:rPr>
        <w:t xml:space="preserve">Estimated Impact:  </w:t>
      </w:r>
      <w:r w:rsidRPr="006F5386">
        <w:rPr>
          <w:rFonts w:ascii="Arial" w:hAnsi="Arial" w:cs="Arial"/>
          <w:u w:val="single"/>
        </w:rPr>
        <w:t>Mandatory Costs</w:t>
      </w:r>
    </w:p>
    <w:p w14:paraId="2CCDA7A8" w14:textId="77777777" w:rsidR="006F5386" w:rsidRPr="006F5386" w:rsidRDefault="006F5386" w:rsidP="006F5386">
      <w:pPr>
        <w:rPr>
          <w:rFonts w:ascii="Arial" w:hAnsi="Arial" w:cs="Arial"/>
          <w:u w:val="single"/>
        </w:rPr>
      </w:pPr>
    </w:p>
    <w:p w14:paraId="68A5A4E8" w14:textId="77777777" w:rsidR="006F5386" w:rsidRPr="006F5386" w:rsidRDefault="006F5386" w:rsidP="006F5386">
      <w:pPr>
        <w:jc w:val="both"/>
        <w:rPr>
          <w:rFonts w:ascii="Arial" w:hAnsi="Arial" w:cs="Arial"/>
        </w:rPr>
      </w:pPr>
      <w:r w:rsidRPr="006F5386">
        <w:rPr>
          <w:rFonts w:ascii="Arial" w:hAnsi="Arial" w:cs="Arial"/>
        </w:rPr>
        <w:t>Benefit costs are estimated to be $379.8 million during the first year and $2.2 billion over a five year period.  For purposes of regulatory impact analysis conducted pursuant to Executive Orders 12866 and 13563, these effects are categorized as transfers from the federal government to veterans, reservists and survivors.</w:t>
      </w:r>
    </w:p>
    <w:p w14:paraId="35B4400F" w14:textId="77777777" w:rsidR="006F5386" w:rsidRPr="006F5386" w:rsidRDefault="006F5386" w:rsidP="006F5386">
      <w:pPr>
        <w:jc w:val="both"/>
        <w:rPr>
          <w:rFonts w:ascii="Arial" w:hAnsi="Arial" w:cs="Arial"/>
        </w:rPr>
      </w:pPr>
    </w:p>
    <w:tbl>
      <w:tblPr>
        <w:tblW w:w="4272" w:type="dxa"/>
        <w:jc w:val="center"/>
        <w:tblLook w:val="04A0" w:firstRow="1" w:lastRow="0" w:firstColumn="1" w:lastColumn="0" w:noHBand="0" w:noVBand="1"/>
      </w:tblPr>
      <w:tblGrid>
        <w:gridCol w:w="1581"/>
        <w:gridCol w:w="1231"/>
        <w:gridCol w:w="1545"/>
      </w:tblGrid>
      <w:tr w:rsidR="006F5386" w:rsidRPr="006F5386" w14:paraId="289AB9E1" w14:textId="77777777" w:rsidTr="00E73F0F">
        <w:trPr>
          <w:trHeight w:val="315"/>
          <w:jc w:val="center"/>
        </w:trPr>
        <w:tc>
          <w:tcPr>
            <w:tcW w:w="427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0A48E1" w14:textId="77777777" w:rsidR="006F5386" w:rsidRPr="006F5386" w:rsidRDefault="006F5386" w:rsidP="00E73F0F">
            <w:pPr>
              <w:jc w:val="center"/>
              <w:rPr>
                <w:rFonts w:ascii="Arial" w:hAnsi="Arial" w:cs="Arial"/>
                <w:color w:val="000000"/>
              </w:rPr>
            </w:pPr>
            <w:r w:rsidRPr="006F5386">
              <w:rPr>
                <w:rFonts w:ascii="Arial" w:hAnsi="Arial" w:cs="Arial"/>
                <w:color w:val="000000"/>
              </w:rPr>
              <w:t>Total Veterans, Reservists, and Survivors</w:t>
            </w:r>
          </w:p>
        </w:tc>
      </w:tr>
      <w:tr w:rsidR="006F5386" w:rsidRPr="006F5386" w14:paraId="7E53BA00" w14:textId="77777777" w:rsidTr="00E73F0F">
        <w:trPr>
          <w:trHeight w:val="585"/>
          <w:jc w:val="center"/>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52D9B3EB" w14:textId="77777777" w:rsidR="006F5386" w:rsidRPr="006F5386" w:rsidRDefault="006F5386" w:rsidP="00E73F0F">
            <w:pPr>
              <w:jc w:val="center"/>
              <w:rPr>
                <w:rFonts w:ascii="Arial" w:hAnsi="Arial" w:cs="Arial"/>
                <w:color w:val="000000"/>
              </w:rPr>
            </w:pPr>
            <w:r w:rsidRPr="006F5386">
              <w:rPr>
                <w:rFonts w:ascii="Arial" w:hAnsi="Arial" w:cs="Arial"/>
                <w:color w:val="000000"/>
              </w:rPr>
              <w:t>FY</w:t>
            </w:r>
          </w:p>
        </w:tc>
        <w:tc>
          <w:tcPr>
            <w:tcW w:w="1146" w:type="dxa"/>
            <w:tcBorders>
              <w:top w:val="nil"/>
              <w:left w:val="nil"/>
              <w:bottom w:val="single" w:sz="8" w:space="0" w:color="auto"/>
              <w:right w:val="single" w:sz="8" w:space="0" w:color="auto"/>
            </w:tcBorders>
            <w:shd w:val="clear" w:color="auto" w:fill="auto"/>
            <w:noWrap/>
            <w:vAlign w:val="center"/>
            <w:hideMark/>
          </w:tcPr>
          <w:p w14:paraId="04D82DA5" w14:textId="77777777" w:rsidR="006F5386" w:rsidRPr="006F5386" w:rsidRDefault="006F5386" w:rsidP="00E73F0F">
            <w:pPr>
              <w:jc w:val="center"/>
              <w:rPr>
                <w:rFonts w:ascii="Arial" w:hAnsi="Arial" w:cs="Arial"/>
                <w:color w:val="000000"/>
              </w:rPr>
            </w:pPr>
            <w:r w:rsidRPr="006F5386">
              <w:rPr>
                <w:rFonts w:ascii="Arial" w:hAnsi="Arial" w:cs="Arial"/>
                <w:color w:val="000000"/>
              </w:rPr>
              <w:t>Caseload</w:t>
            </w:r>
          </w:p>
        </w:tc>
        <w:tc>
          <w:tcPr>
            <w:tcW w:w="1545" w:type="dxa"/>
            <w:tcBorders>
              <w:top w:val="nil"/>
              <w:left w:val="nil"/>
              <w:bottom w:val="single" w:sz="8" w:space="0" w:color="auto"/>
              <w:right w:val="single" w:sz="8" w:space="0" w:color="auto"/>
            </w:tcBorders>
            <w:shd w:val="clear" w:color="auto" w:fill="auto"/>
            <w:vAlign w:val="center"/>
            <w:hideMark/>
          </w:tcPr>
          <w:p w14:paraId="745BBC4D" w14:textId="77777777" w:rsidR="006F5386" w:rsidRPr="006F5386" w:rsidRDefault="006F5386" w:rsidP="00E73F0F">
            <w:pPr>
              <w:jc w:val="center"/>
              <w:rPr>
                <w:rFonts w:ascii="Arial" w:hAnsi="Arial" w:cs="Arial"/>
                <w:color w:val="000000"/>
              </w:rPr>
            </w:pPr>
            <w:r w:rsidRPr="006F5386">
              <w:rPr>
                <w:rFonts w:ascii="Arial" w:hAnsi="Arial" w:cs="Arial"/>
                <w:color w:val="000000"/>
              </w:rPr>
              <w:t>Obligations</w:t>
            </w:r>
            <w:r w:rsidRPr="006F5386">
              <w:rPr>
                <w:rFonts w:ascii="Arial" w:hAnsi="Arial" w:cs="Arial"/>
                <w:color w:val="000000"/>
              </w:rPr>
              <w:br/>
              <w:t>(in 000's)</w:t>
            </w:r>
          </w:p>
        </w:tc>
      </w:tr>
      <w:tr w:rsidR="006F5386" w:rsidRPr="006F5386" w14:paraId="476B8BA8" w14:textId="77777777" w:rsidTr="00E73F0F">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6D137EB8" w14:textId="77777777" w:rsidR="006F5386" w:rsidRPr="006F5386" w:rsidRDefault="006F5386" w:rsidP="00E73F0F">
            <w:pPr>
              <w:jc w:val="center"/>
              <w:rPr>
                <w:rFonts w:ascii="Arial" w:hAnsi="Arial" w:cs="Arial"/>
                <w:color w:val="000000"/>
              </w:rPr>
            </w:pPr>
            <w:r w:rsidRPr="006F5386">
              <w:rPr>
                <w:rFonts w:ascii="Arial" w:hAnsi="Arial" w:cs="Arial"/>
                <w:color w:val="000000"/>
              </w:rPr>
              <w:t>2018</w:t>
            </w:r>
          </w:p>
        </w:tc>
        <w:tc>
          <w:tcPr>
            <w:tcW w:w="1146" w:type="dxa"/>
            <w:tcBorders>
              <w:top w:val="nil"/>
              <w:left w:val="nil"/>
              <w:bottom w:val="single" w:sz="8" w:space="0" w:color="auto"/>
              <w:right w:val="single" w:sz="8" w:space="0" w:color="auto"/>
            </w:tcBorders>
            <w:shd w:val="clear" w:color="auto" w:fill="auto"/>
            <w:noWrap/>
            <w:vAlign w:val="center"/>
            <w:hideMark/>
          </w:tcPr>
          <w:p w14:paraId="1FF14844" w14:textId="77777777" w:rsidR="006F5386" w:rsidRPr="006F5386" w:rsidRDefault="006F5386" w:rsidP="00E73F0F">
            <w:pPr>
              <w:jc w:val="center"/>
              <w:rPr>
                <w:rFonts w:ascii="Arial" w:hAnsi="Arial" w:cs="Arial"/>
                <w:color w:val="000000"/>
              </w:rPr>
            </w:pPr>
            <w:r w:rsidRPr="006F5386">
              <w:rPr>
                <w:rFonts w:ascii="Arial" w:hAnsi="Arial" w:cs="Arial"/>
                <w:color w:val="000000"/>
              </w:rPr>
              <w:t>19,514</w:t>
            </w:r>
          </w:p>
        </w:tc>
        <w:tc>
          <w:tcPr>
            <w:tcW w:w="1545" w:type="dxa"/>
            <w:tcBorders>
              <w:top w:val="nil"/>
              <w:left w:val="nil"/>
              <w:bottom w:val="single" w:sz="8" w:space="0" w:color="auto"/>
              <w:right w:val="single" w:sz="8" w:space="0" w:color="auto"/>
            </w:tcBorders>
            <w:shd w:val="clear" w:color="auto" w:fill="auto"/>
            <w:noWrap/>
            <w:vAlign w:val="center"/>
            <w:hideMark/>
          </w:tcPr>
          <w:p w14:paraId="066E1014" w14:textId="77777777" w:rsidR="006F5386" w:rsidRPr="006F5386" w:rsidRDefault="006F5386" w:rsidP="00E73F0F">
            <w:pPr>
              <w:jc w:val="right"/>
              <w:rPr>
                <w:rFonts w:ascii="Arial" w:hAnsi="Arial" w:cs="Arial"/>
                <w:color w:val="000000"/>
              </w:rPr>
            </w:pPr>
            <w:r w:rsidRPr="006F5386">
              <w:rPr>
                <w:rFonts w:ascii="Arial" w:hAnsi="Arial" w:cs="Arial"/>
                <w:color w:val="000000"/>
              </w:rPr>
              <w:t xml:space="preserve">$379,791 </w:t>
            </w:r>
          </w:p>
        </w:tc>
      </w:tr>
      <w:tr w:rsidR="006F5386" w:rsidRPr="006F5386" w14:paraId="4C389ABA" w14:textId="77777777" w:rsidTr="00E73F0F">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03D9954F" w14:textId="77777777" w:rsidR="006F5386" w:rsidRPr="006F5386" w:rsidRDefault="006F5386" w:rsidP="00E73F0F">
            <w:pPr>
              <w:jc w:val="center"/>
              <w:rPr>
                <w:rFonts w:ascii="Arial" w:hAnsi="Arial" w:cs="Arial"/>
                <w:color w:val="000000"/>
              </w:rPr>
            </w:pPr>
            <w:r w:rsidRPr="006F5386">
              <w:rPr>
                <w:rFonts w:ascii="Arial" w:hAnsi="Arial" w:cs="Arial"/>
                <w:color w:val="000000"/>
              </w:rPr>
              <w:t>2019</w:t>
            </w:r>
          </w:p>
        </w:tc>
        <w:tc>
          <w:tcPr>
            <w:tcW w:w="1146" w:type="dxa"/>
            <w:tcBorders>
              <w:top w:val="nil"/>
              <w:left w:val="nil"/>
              <w:bottom w:val="single" w:sz="8" w:space="0" w:color="auto"/>
              <w:right w:val="single" w:sz="8" w:space="0" w:color="auto"/>
            </w:tcBorders>
            <w:shd w:val="clear" w:color="auto" w:fill="auto"/>
            <w:noWrap/>
            <w:vAlign w:val="center"/>
            <w:hideMark/>
          </w:tcPr>
          <w:p w14:paraId="4D41B30B" w14:textId="77777777" w:rsidR="006F5386" w:rsidRPr="006F5386" w:rsidRDefault="006F5386" w:rsidP="00E73F0F">
            <w:pPr>
              <w:jc w:val="center"/>
              <w:rPr>
                <w:rFonts w:ascii="Arial" w:hAnsi="Arial" w:cs="Arial"/>
                <w:color w:val="000000"/>
              </w:rPr>
            </w:pPr>
            <w:r w:rsidRPr="006F5386">
              <w:rPr>
                <w:rFonts w:ascii="Arial" w:hAnsi="Arial" w:cs="Arial"/>
                <w:color w:val="000000"/>
              </w:rPr>
              <w:t>20,597</w:t>
            </w:r>
          </w:p>
        </w:tc>
        <w:tc>
          <w:tcPr>
            <w:tcW w:w="1545" w:type="dxa"/>
            <w:tcBorders>
              <w:top w:val="nil"/>
              <w:left w:val="nil"/>
              <w:bottom w:val="single" w:sz="8" w:space="0" w:color="auto"/>
              <w:right w:val="single" w:sz="8" w:space="0" w:color="auto"/>
            </w:tcBorders>
            <w:shd w:val="clear" w:color="auto" w:fill="auto"/>
            <w:noWrap/>
            <w:vAlign w:val="center"/>
            <w:hideMark/>
          </w:tcPr>
          <w:p w14:paraId="6C7E8170" w14:textId="77777777" w:rsidR="006F5386" w:rsidRPr="006F5386" w:rsidRDefault="006F5386" w:rsidP="00E73F0F">
            <w:pPr>
              <w:jc w:val="right"/>
              <w:rPr>
                <w:rFonts w:ascii="Arial" w:hAnsi="Arial" w:cs="Arial"/>
                <w:color w:val="000000"/>
              </w:rPr>
            </w:pPr>
            <w:r w:rsidRPr="006F5386">
              <w:rPr>
                <w:rFonts w:ascii="Arial" w:hAnsi="Arial" w:cs="Arial"/>
                <w:color w:val="000000"/>
              </w:rPr>
              <w:t xml:space="preserve">$411,091 </w:t>
            </w:r>
          </w:p>
        </w:tc>
      </w:tr>
      <w:tr w:rsidR="006F5386" w:rsidRPr="006F5386" w14:paraId="5ECDC043" w14:textId="77777777" w:rsidTr="00E73F0F">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3294A0EC" w14:textId="77777777" w:rsidR="006F5386" w:rsidRPr="006F5386" w:rsidRDefault="006F5386" w:rsidP="00E73F0F">
            <w:pPr>
              <w:jc w:val="center"/>
              <w:rPr>
                <w:rFonts w:ascii="Arial" w:hAnsi="Arial" w:cs="Arial"/>
                <w:color w:val="000000"/>
              </w:rPr>
            </w:pPr>
            <w:r w:rsidRPr="006F5386">
              <w:rPr>
                <w:rFonts w:ascii="Arial" w:hAnsi="Arial" w:cs="Arial"/>
                <w:color w:val="000000"/>
              </w:rPr>
              <w:t>2020</w:t>
            </w:r>
          </w:p>
        </w:tc>
        <w:tc>
          <w:tcPr>
            <w:tcW w:w="1146" w:type="dxa"/>
            <w:tcBorders>
              <w:top w:val="nil"/>
              <w:left w:val="nil"/>
              <w:bottom w:val="single" w:sz="8" w:space="0" w:color="auto"/>
              <w:right w:val="single" w:sz="8" w:space="0" w:color="auto"/>
            </w:tcBorders>
            <w:shd w:val="clear" w:color="auto" w:fill="auto"/>
            <w:noWrap/>
            <w:vAlign w:val="center"/>
            <w:hideMark/>
          </w:tcPr>
          <w:p w14:paraId="0AEE3EED" w14:textId="77777777" w:rsidR="006F5386" w:rsidRPr="006F5386" w:rsidRDefault="006F5386" w:rsidP="00E73F0F">
            <w:pPr>
              <w:jc w:val="center"/>
              <w:rPr>
                <w:rFonts w:ascii="Arial" w:hAnsi="Arial" w:cs="Arial"/>
                <w:color w:val="000000"/>
              </w:rPr>
            </w:pPr>
            <w:r w:rsidRPr="006F5386">
              <w:rPr>
                <w:rFonts w:ascii="Arial" w:hAnsi="Arial" w:cs="Arial"/>
                <w:color w:val="000000"/>
              </w:rPr>
              <w:t>21,569</w:t>
            </w:r>
          </w:p>
        </w:tc>
        <w:tc>
          <w:tcPr>
            <w:tcW w:w="1545" w:type="dxa"/>
            <w:tcBorders>
              <w:top w:val="nil"/>
              <w:left w:val="nil"/>
              <w:bottom w:val="single" w:sz="8" w:space="0" w:color="auto"/>
              <w:right w:val="single" w:sz="8" w:space="0" w:color="auto"/>
            </w:tcBorders>
            <w:shd w:val="clear" w:color="auto" w:fill="auto"/>
            <w:noWrap/>
            <w:vAlign w:val="center"/>
            <w:hideMark/>
          </w:tcPr>
          <w:p w14:paraId="70F0BE9F" w14:textId="77777777" w:rsidR="006F5386" w:rsidRPr="006F5386" w:rsidRDefault="006F5386" w:rsidP="00E73F0F">
            <w:pPr>
              <w:jc w:val="right"/>
              <w:rPr>
                <w:rFonts w:ascii="Arial" w:hAnsi="Arial" w:cs="Arial"/>
                <w:color w:val="000000"/>
              </w:rPr>
            </w:pPr>
            <w:r w:rsidRPr="006F5386">
              <w:rPr>
                <w:rFonts w:ascii="Arial" w:hAnsi="Arial" w:cs="Arial"/>
                <w:color w:val="000000"/>
              </w:rPr>
              <w:t xml:space="preserve">$441,880 </w:t>
            </w:r>
          </w:p>
        </w:tc>
      </w:tr>
      <w:tr w:rsidR="006F5386" w:rsidRPr="006F5386" w14:paraId="59F512DC" w14:textId="77777777" w:rsidTr="00E73F0F">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1655B6C4" w14:textId="77777777" w:rsidR="006F5386" w:rsidRPr="006F5386" w:rsidRDefault="006F5386" w:rsidP="00E73F0F">
            <w:pPr>
              <w:jc w:val="center"/>
              <w:rPr>
                <w:rFonts w:ascii="Arial" w:hAnsi="Arial" w:cs="Arial"/>
                <w:color w:val="000000"/>
              </w:rPr>
            </w:pPr>
            <w:r w:rsidRPr="006F5386">
              <w:rPr>
                <w:rFonts w:ascii="Arial" w:hAnsi="Arial" w:cs="Arial"/>
                <w:color w:val="000000"/>
              </w:rPr>
              <w:t>2021</w:t>
            </w:r>
          </w:p>
        </w:tc>
        <w:tc>
          <w:tcPr>
            <w:tcW w:w="1146" w:type="dxa"/>
            <w:tcBorders>
              <w:top w:val="nil"/>
              <w:left w:val="nil"/>
              <w:bottom w:val="single" w:sz="8" w:space="0" w:color="auto"/>
              <w:right w:val="single" w:sz="8" w:space="0" w:color="auto"/>
            </w:tcBorders>
            <w:shd w:val="clear" w:color="auto" w:fill="auto"/>
            <w:noWrap/>
            <w:vAlign w:val="center"/>
            <w:hideMark/>
          </w:tcPr>
          <w:p w14:paraId="71512A4F" w14:textId="77777777" w:rsidR="006F5386" w:rsidRPr="006F5386" w:rsidRDefault="006F5386" w:rsidP="00E73F0F">
            <w:pPr>
              <w:jc w:val="center"/>
              <w:rPr>
                <w:rFonts w:ascii="Arial" w:hAnsi="Arial" w:cs="Arial"/>
                <w:color w:val="000000"/>
              </w:rPr>
            </w:pPr>
            <w:r w:rsidRPr="006F5386">
              <w:rPr>
                <w:rFonts w:ascii="Arial" w:hAnsi="Arial" w:cs="Arial"/>
                <w:color w:val="000000"/>
              </w:rPr>
              <w:t>22,441</w:t>
            </w:r>
          </w:p>
        </w:tc>
        <w:tc>
          <w:tcPr>
            <w:tcW w:w="1545" w:type="dxa"/>
            <w:tcBorders>
              <w:top w:val="nil"/>
              <w:left w:val="nil"/>
              <w:bottom w:val="single" w:sz="8" w:space="0" w:color="auto"/>
              <w:right w:val="single" w:sz="8" w:space="0" w:color="auto"/>
            </w:tcBorders>
            <w:shd w:val="clear" w:color="auto" w:fill="auto"/>
            <w:noWrap/>
            <w:vAlign w:val="center"/>
            <w:hideMark/>
          </w:tcPr>
          <w:p w14:paraId="51D0FFE0" w14:textId="77777777" w:rsidR="006F5386" w:rsidRPr="006F5386" w:rsidRDefault="006F5386" w:rsidP="00E73F0F">
            <w:pPr>
              <w:jc w:val="right"/>
              <w:rPr>
                <w:rFonts w:ascii="Arial" w:hAnsi="Arial" w:cs="Arial"/>
                <w:color w:val="000000"/>
              </w:rPr>
            </w:pPr>
            <w:r w:rsidRPr="006F5386">
              <w:rPr>
                <w:rFonts w:ascii="Arial" w:hAnsi="Arial" w:cs="Arial"/>
                <w:color w:val="000000"/>
              </w:rPr>
              <w:t xml:space="preserve">$471,127 </w:t>
            </w:r>
          </w:p>
        </w:tc>
      </w:tr>
      <w:tr w:rsidR="006F5386" w:rsidRPr="006F5386" w14:paraId="4F71337A" w14:textId="77777777" w:rsidTr="00E73F0F">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29E15DA3" w14:textId="77777777" w:rsidR="006F5386" w:rsidRPr="006F5386" w:rsidRDefault="006F5386" w:rsidP="00E73F0F">
            <w:pPr>
              <w:jc w:val="center"/>
              <w:rPr>
                <w:rFonts w:ascii="Arial" w:hAnsi="Arial" w:cs="Arial"/>
                <w:color w:val="000000"/>
              </w:rPr>
            </w:pPr>
            <w:r w:rsidRPr="006F5386">
              <w:rPr>
                <w:rFonts w:ascii="Arial" w:hAnsi="Arial" w:cs="Arial"/>
                <w:color w:val="000000"/>
              </w:rPr>
              <w:t>2022</w:t>
            </w:r>
          </w:p>
        </w:tc>
        <w:tc>
          <w:tcPr>
            <w:tcW w:w="1146" w:type="dxa"/>
            <w:tcBorders>
              <w:top w:val="nil"/>
              <w:left w:val="nil"/>
              <w:bottom w:val="single" w:sz="8" w:space="0" w:color="auto"/>
              <w:right w:val="single" w:sz="8" w:space="0" w:color="auto"/>
            </w:tcBorders>
            <w:shd w:val="clear" w:color="auto" w:fill="auto"/>
            <w:noWrap/>
            <w:vAlign w:val="center"/>
            <w:hideMark/>
          </w:tcPr>
          <w:p w14:paraId="45D1F647" w14:textId="77777777" w:rsidR="006F5386" w:rsidRPr="006F5386" w:rsidRDefault="006F5386" w:rsidP="00E73F0F">
            <w:pPr>
              <w:jc w:val="center"/>
              <w:rPr>
                <w:rFonts w:ascii="Arial" w:hAnsi="Arial" w:cs="Arial"/>
                <w:color w:val="000000"/>
              </w:rPr>
            </w:pPr>
            <w:r w:rsidRPr="006F5386">
              <w:rPr>
                <w:rFonts w:ascii="Arial" w:hAnsi="Arial" w:cs="Arial"/>
                <w:color w:val="000000"/>
              </w:rPr>
              <w:t>23,225</w:t>
            </w:r>
          </w:p>
        </w:tc>
        <w:tc>
          <w:tcPr>
            <w:tcW w:w="1545" w:type="dxa"/>
            <w:tcBorders>
              <w:top w:val="nil"/>
              <w:left w:val="nil"/>
              <w:bottom w:val="single" w:sz="8" w:space="0" w:color="auto"/>
              <w:right w:val="single" w:sz="8" w:space="0" w:color="auto"/>
            </w:tcBorders>
            <w:shd w:val="clear" w:color="auto" w:fill="auto"/>
            <w:noWrap/>
            <w:vAlign w:val="center"/>
            <w:hideMark/>
          </w:tcPr>
          <w:p w14:paraId="22E1E73F" w14:textId="77777777" w:rsidR="006F5386" w:rsidRPr="006F5386" w:rsidRDefault="006F5386" w:rsidP="00E73F0F">
            <w:pPr>
              <w:jc w:val="right"/>
              <w:rPr>
                <w:rFonts w:ascii="Arial" w:hAnsi="Arial" w:cs="Arial"/>
                <w:color w:val="000000"/>
              </w:rPr>
            </w:pPr>
            <w:r w:rsidRPr="006F5386">
              <w:rPr>
                <w:rFonts w:ascii="Arial" w:hAnsi="Arial" w:cs="Arial"/>
                <w:color w:val="000000"/>
              </w:rPr>
              <w:t xml:space="preserve">$499,920 </w:t>
            </w:r>
          </w:p>
        </w:tc>
      </w:tr>
      <w:tr w:rsidR="006F5386" w:rsidRPr="006F5386" w14:paraId="45C5C47B" w14:textId="77777777" w:rsidTr="00E73F0F">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14:paraId="44D0B61F" w14:textId="77777777" w:rsidR="006F5386" w:rsidRPr="006F5386" w:rsidRDefault="006F5386" w:rsidP="00E73F0F">
            <w:pPr>
              <w:jc w:val="center"/>
              <w:rPr>
                <w:rFonts w:ascii="Arial" w:hAnsi="Arial" w:cs="Arial"/>
                <w:b/>
                <w:color w:val="000000"/>
              </w:rPr>
            </w:pPr>
            <w:r w:rsidRPr="006F5386">
              <w:rPr>
                <w:rFonts w:ascii="Arial" w:hAnsi="Arial" w:cs="Arial"/>
                <w:b/>
                <w:color w:val="000000"/>
              </w:rPr>
              <w:t>5-year Total</w:t>
            </w:r>
          </w:p>
        </w:tc>
        <w:tc>
          <w:tcPr>
            <w:tcW w:w="1146" w:type="dxa"/>
            <w:tcBorders>
              <w:top w:val="nil"/>
              <w:left w:val="nil"/>
              <w:bottom w:val="single" w:sz="8" w:space="0" w:color="auto"/>
              <w:right w:val="single" w:sz="8" w:space="0" w:color="auto"/>
            </w:tcBorders>
            <w:shd w:val="clear" w:color="auto" w:fill="auto"/>
            <w:noWrap/>
            <w:vAlign w:val="center"/>
            <w:hideMark/>
          </w:tcPr>
          <w:p w14:paraId="15E7A532" w14:textId="77777777" w:rsidR="006F5386" w:rsidRPr="006F5386" w:rsidRDefault="006F5386" w:rsidP="00E73F0F">
            <w:pPr>
              <w:jc w:val="center"/>
              <w:rPr>
                <w:rFonts w:ascii="Arial" w:hAnsi="Arial" w:cs="Arial"/>
                <w:color w:val="000000"/>
              </w:rPr>
            </w:pPr>
            <w:r w:rsidRPr="006F5386">
              <w:rPr>
                <w:rFonts w:ascii="Arial" w:hAnsi="Arial" w:cs="Arial"/>
                <w:color w:val="000000"/>
              </w:rPr>
              <w:t> </w:t>
            </w:r>
          </w:p>
        </w:tc>
        <w:tc>
          <w:tcPr>
            <w:tcW w:w="1545" w:type="dxa"/>
            <w:tcBorders>
              <w:top w:val="nil"/>
              <w:left w:val="nil"/>
              <w:bottom w:val="single" w:sz="8" w:space="0" w:color="auto"/>
              <w:right w:val="single" w:sz="8" w:space="0" w:color="auto"/>
            </w:tcBorders>
            <w:shd w:val="clear" w:color="auto" w:fill="auto"/>
            <w:noWrap/>
            <w:vAlign w:val="center"/>
            <w:hideMark/>
          </w:tcPr>
          <w:p w14:paraId="72B93226" w14:textId="77777777" w:rsidR="006F5386" w:rsidRPr="006F5386" w:rsidRDefault="006F5386" w:rsidP="00E73F0F">
            <w:pPr>
              <w:jc w:val="right"/>
              <w:rPr>
                <w:rFonts w:ascii="Arial" w:hAnsi="Arial" w:cs="Arial"/>
                <w:b/>
                <w:color w:val="000000"/>
              </w:rPr>
            </w:pPr>
            <w:r w:rsidRPr="006F5386">
              <w:rPr>
                <w:rFonts w:ascii="Arial" w:hAnsi="Arial" w:cs="Arial"/>
                <w:b/>
                <w:color w:val="000000"/>
              </w:rPr>
              <w:t>$2,</w:t>
            </w:r>
            <w:r w:rsidRPr="006F5386">
              <w:rPr>
                <w:rFonts w:ascii="Arial" w:hAnsi="Arial" w:cs="Arial"/>
                <w:b/>
                <w:bCs/>
                <w:color w:val="000000"/>
              </w:rPr>
              <w:t>203,808</w:t>
            </w:r>
            <w:r w:rsidRPr="006F5386">
              <w:rPr>
                <w:rFonts w:ascii="Arial" w:hAnsi="Arial" w:cs="Arial"/>
                <w:b/>
                <w:color w:val="000000"/>
              </w:rPr>
              <w:t xml:space="preserve"> </w:t>
            </w:r>
          </w:p>
        </w:tc>
      </w:tr>
    </w:tbl>
    <w:p w14:paraId="4F0F7315" w14:textId="77777777" w:rsidR="006F5386" w:rsidRDefault="006F5386" w:rsidP="006F5386">
      <w:pPr>
        <w:rPr>
          <w:rFonts w:ascii="Arial" w:eastAsia="Arial Unicode MS" w:hAnsi="Arial" w:cs="Arial"/>
          <w:u w:val="single"/>
        </w:rPr>
      </w:pPr>
    </w:p>
    <w:p w14:paraId="1EBEC2A6" w14:textId="77777777" w:rsidR="006F5386" w:rsidRDefault="006F5386" w:rsidP="006F5386">
      <w:pPr>
        <w:rPr>
          <w:rFonts w:ascii="Arial" w:eastAsia="Arial Unicode MS" w:hAnsi="Arial" w:cs="Arial"/>
          <w:u w:val="single"/>
        </w:rPr>
      </w:pPr>
    </w:p>
    <w:p w14:paraId="173E21DD" w14:textId="77777777" w:rsidR="006F5386" w:rsidRDefault="006F5386" w:rsidP="006F5386">
      <w:pPr>
        <w:rPr>
          <w:rFonts w:ascii="Arial" w:eastAsia="Arial Unicode MS" w:hAnsi="Arial" w:cs="Arial"/>
          <w:u w:val="single"/>
        </w:rPr>
      </w:pPr>
      <w:bookmarkStart w:id="0" w:name="_GoBack"/>
      <w:bookmarkEnd w:id="0"/>
    </w:p>
    <w:p w14:paraId="45A5E0AB" w14:textId="77777777" w:rsidR="006F5386" w:rsidRDefault="006F5386" w:rsidP="006F5386">
      <w:pPr>
        <w:rPr>
          <w:rFonts w:ascii="Arial" w:eastAsia="Arial Unicode MS" w:hAnsi="Arial" w:cs="Arial"/>
          <w:u w:val="single"/>
        </w:rPr>
      </w:pPr>
    </w:p>
    <w:p w14:paraId="5EEA7DDE" w14:textId="77777777" w:rsidR="006F5386" w:rsidRPr="006F5386" w:rsidRDefault="006F5386" w:rsidP="006F5386">
      <w:pPr>
        <w:rPr>
          <w:rFonts w:ascii="Arial" w:eastAsia="Arial Unicode MS" w:hAnsi="Arial" w:cs="Arial"/>
          <w:u w:val="single"/>
        </w:rPr>
      </w:pPr>
      <w:r w:rsidRPr="006F5386">
        <w:rPr>
          <w:rFonts w:ascii="Arial" w:eastAsia="Arial Unicode MS" w:hAnsi="Arial" w:cs="Arial"/>
          <w:u w:val="single"/>
        </w:rPr>
        <w:t xml:space="preserve">General Operating Expenses (GOE)   </w:t>
      </w:r>
    </w:p>
    <w:p w14:paraId="64EBA229" w14:textId="77777777" w:rsidR="006F5386" w:rsidRPr="006F5386" w:rsidRDefault="006F5386" w:rsidP="006F5386">
      <w:pPr>
        <w:rPr>
          <w:rFonts w:ascii="Arial" w:hAnsi="Arial" w:cs="Arial"/>
        </w:rPr>
      </w:pPr>
      <w:r w:rsidRPr="006F5386">
        <w:rPr>
          <w:rFonts w:ascii="Arial" w:eastAsia="Arial Unicode MS" w:hAnsi="Arial" w:cs="Arial"/>
        </w:rPr>
        <w:t xml:space="preserve">The GOE costs for the first year are estimated to be $19.2 million and include salary, benefits, rent, training, supplies, other service, and equipment.  </w:t>
      </w:r>
      <w:r w:rsidRPr="006F5386">
        <w:rPr>
          <w:rFonts w:ascii="Arial" w:hAnsi="Arial" w:cs="Arial"/>
        </w:rPr>
        <w:t>Five-year costs are estimated to be $60.7 million.</w:t>
      </w:r>
    </w:p>
    <w:p w14:paraId="3EB8EA0B" w14:textId="77777777" w:rsidR="006F5386" w:rsidRPr="006F5386" w:rsidRDefault="006F5386" w:rsidP="006F5386">
      <w:pPr>
        <w:rPr>
          <w:rFonts w:ascii="Arial" w:hAnsi="Arial" w:cs="Arial"/>
        </w:rPr>
      </w:pPr>
    </w:p>
    <w:tbl>
      <w:tblPr>
        <w:tblW w:w="5720" w:type="dxa"/>
        <w:jc w:val="center"/>
        <w:tblLook w:val="04A0" w:firstRow="1" w:lastRow="0" w:firstColumn="1" w:lastColumn="0" w:noHBand="0" w:noVBand="1"/>
      </w:tblPr>
      <w:tblGrid>
        <w:gridCol w:w="2180"/>
        <w:gridCol w:w="1120"/>
        <w:gridCol w:w="2420"/>
      </w:tblGrid>
      <w:tr w:rsidR="006F5386" w:rsidRPr="006F5386" w14:paraId="6EC71139" w14:textId="77777777" w:rsidTr="00E73F0F">
        <w:trPr>
          <w:trHeight w:val="330"/>
          <w:jc w:val="center"/>
        </w:trPr>
        <w:tc>
          <w:tcPr>
            <w:tcW w:w="5720"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6F77818" w14:textId="77777777" w:rsidR="006F5386" w:rsidRPr="006F5386" w:rsidRDefault="006F5386" w:rsidP="00E73F0F">
            <w:pPr>
              <w:jc w:val="center"/>
              <w:rPr>
                <w:rFonts w:ascii="Arial" w:hAnsi="Arial" w:cs="Arial"/>
                <w:b/>
                <w:bCs/>
                <w:color w:val="000000"/>
              </w:rPr>
            </w:pPr>
            <w:r w:rsidRPr="006F5386">
              <w:rPr>
                <w:rFonts w:ascii="Arial" w:hAnsi="Arial" w:cs="Arial"/>
                <w:b/>
                <w:bCs/>
                <w:color w:val="000000"/>
              </w:rPr>
              <w:t>GOE Costs</w:t>
            </w:r>
          </w:p>
        </w:tc>
      </w:tr>
      <w:tr w:rsidR="006F5386" w:rsidRPr="006F5386" w14:paraId="63A4C02C" w14:textId="77777777" w:rsidTr="00E73F0F">
        <w:trPr>
          <w:trHeight w:val="330"/>
          <w:jc w:val="center"/>
        </w:trPr>
        <w:tc>
          <w:tcPr>
            <w:tcW w:w="2180" w:type="dxa"/>
            <w:tcBorders>
              <w:top w:val="nil"/>
              <w:left w:val="single" w:sz="8" w:space="0" w:color="auto"/>
              <w:bottom w:val="nil"/>
              <w:right w:val="nil"/>
            </w:tcBorders>
            <w:shd w:val="clear" w:color="000000" w:fill="FFFFFF"/>
            <w:vAlign w:val="center"/>
            <w:hideMark/>
          </w:tcPr>
          <w:p w14:paraId="65ECB61C" w14:textId="77777777" w:rsidR="006F5386" w:rsidRPr="006F5386" w:rsidRDefault="006F5386" w:rsidP="00E73F0F">
            <w:pPr>
              <w:jc w:val="center"/>
              <w:rPr>
                <w:rFonts w:ascii="Arial" w:hAnsi="Arial" w:cs="Arial"/>
                <w:b/>
                <w:bCs/>
              </w:rPr>
            </w:pPr>
            <w:r w:rsidRPr="006F5386">
              <w:rPr>
                <w:rFonts w:ascii="Arial" w:hAnsi="Arial" w:cs="Arial"/>
                <w:b/>
                <w:bCs/>
              </w:rPr>
              <w:t>Fiscal Year</w:t>
            </w:r>
          </w:p>
        </w:tc>
        <w:tc>
          <w:tcPr>
            <w:tcW w:w="1120" w:type="dxa"/>
            <w:tcBorders>
              <w:top w:val="nil"/>
              <w:left w:val="single" w:sz="8" w:space="0" w:color="auto"/>
              <w:bottom w:val="nil"/>
              <w:right w:val="nil"/>
            </w:tcBorders>
            <w:shd w:val="clear" w:color="000000" w:fill="FFFFFF"/>
            <w:vAlign w:val="center"/>
            <w:hideMark/>
          </w:tcPr>
          <w:p w14:paraId="45133A7F" w14:textId="77777777" w:rsidR="006F5386" w:rsidRPr="006F5386" w:rsidRDefault="006F5386" w:rsidP="00E73F0F">
            <w:pPr>
              <w:jc w:val="center"/>
              <w:rPr>
                <w:rFonts w:ascii="Arial" w:hAnsi="Arial" w:cs="Arial"/>
                <w:b/>
                <w:bCs/>
              </w:rPr>
            </w:pPr>
            <w:r w:rsidRPr="006F5386">
              <w:rPr>
                <w:rFonts w:ascii="Arial" w:hAnsi="Arial" w:cs="Arial"/>
                <w:b/>
                <w:bCs/>
              </w:rPr>
              <w:t>FTE</w:t>
            </w:r>
          </w:p>
        </w:tc>
        <w:tc>
          <w:tcPr>
            <w:tcW w:w="2420" w:type="dxa"/>
            <w:tcBorders>
              <w:top w:val="nil"/>
              <w:left w:val="single" w:sz="8" w:space="0" w:color="auto"/>
              <w:bottom w:val="nil"/>
              <w:right w:val="single" w:sz="8" w:space="0" w:color="auto"/>
            </w:tcBorders>
            <w:shd w:val="clear" w:color="000000" w:fill="FFFFFF"/>
            <w:vAlign w:val="center"/>
            <w:hideMark/>
          </w:tcPr>
          <w:p w14:paraId="0DB7EA50" w14:textId="77777777" w:rsidR="006F5386" w:rsidRPr="006F5386" w:rsidRDefault="006F5386" w:rsidP="00E73F0F">
            <w:pPr>
              <w:jc w:val="center"/>
              <w:rPr>
                <w:rFonts w:ascii="Arial" w:hAnsi="Arial" w:cs="Arial"/>
                <w:b/>
                <w:bCs/>
              </w:rPr>
            </w:pPr>
            <w:r w:rsidRPr="006F5386">
              <w:rPr>
                <w:rFonts w:ascii="Arial" w:hAnsi="Arial" w:cs="Arial"/>
                <w:b/>
                <w:bCs/>
              </w:rPr>
              <w:t>Obligations ($000)</w:t>
            </w:r>
          </w:p>
        </w:tc>
      </w:tr>
      <w:tr w:rsidR="006F5386" w:rsidRPr="006F5386" w14:paraId="7A38B4AA" w14:textId="77777777" w:rsidTr="00E73F0F">
        <w:trPr>
          <w:trHeight w:val="315"/>
          <w:jc w:val="center"/>
        </w:trPr>
        <w:tc>
          <w:tcPr>
            <w:tcW w:w="2180" w:type="dxa"/>
            <w:tcBorders>
              <w:top w:val="single" w:sz="8" w:space="0" w:color="auto"/>
              <w:left w:val="single" w:sz="8" w:space="0" w:color="auto"/>
              <w:bottom w:val="nil"/>
              <w:right w:val="nil"/>
            </w:tcBorders>
            <w:shd w:val="clear" w:color="000000" w:fill="FFFFFF"/>
            <w:noWrap/>
            <w:vAlign w:val="center"/>
            <w:hideMark/>
          </w:tcPr>
          <w:p w14:paraId="426D5244" w14:textId="77777777" w:rsidR="006F5386" w:rsidRPr="006F5386" w:rsidRDefault="006F5386" w:rsidP="00E73F0F">
            <w:pPr>
              <w:jc w:val="center"/>
              <w:rPr>
                <w:rFonts w:ascii="Arial" w:hAnsi="Arial" w:cs="Arial"/>
                <w:color w:val="000000"/>
              </w:rPr>
            </w:pPr>
            <w:r w:rsidRPr="006F5386">
              <w:rPr>
                <w:rFonts w:ascii="Arial" w:hAnsi="Arial" w:cs="Arial"/>
                <w:color w:val="000000"/>
              </w:rPr>
              <w:t>2018</w:t>
            </w:r>
          </w:p>
        </w:tc>
        <w:tc>
          <w:tcPr>
            <w:tcW w:w="1120" w:type="dxa"/>
            <w:tcBorders>
              <w:top w:val="single" w:sz="8" w:space="0" w:color="auto"/>
              <w:left w:val="single" w:sz="8" w:space="0" w:color="auto"/>
              <w:bottom w:val="nil"/>
              <w:right w:val="nil"/>
            </w:tcBorders>
            <w:shd w:val="clear" w:color="000000" w:fill="FFFFFF"/>
            <w:noWrap/>
            <w:vAlign w:val="center"/>
            <w:hideMark/>
          </w:tcPr>
          <w:p w14:paraId="76F9E553" w14:textId="77777777" w:rsidR="006F5386" w:rsidRPr="006F5386" w:rsidRDefault="006F5386" w:rsidP="00E73F0F">
            <w:pPr>
              <w:jc w:val="center"/>
              <w:rPr>
                <w:rFonts w:ascii="Arial" w:hAnsi="Arial" w:cs="Arial"/>
                <w:color w:val="000000"/>
              </w:rPr>
            </w:pPr>
            <w:r w:rsidRPr="006F5386">
              <w:rPr>
                <w:rFonts w:ascii="Arial" w:hAnsi="Arial" w:cs="Arial"/>
                <w:color w:val="000000"/>
              </w:rPr>
              <w:t>174</w:t>
            </w:r>
          </w:p>
        </w:tc>
        <w:tc>
          <w:tcPr>
            <w:tcW w:w="2420" w:type="dxa"/>
            <w:tcBorders>
              <w:top w:val="single" w:sz="8" w:space="0" w:color="auto"/>
              <w:left w:val="single" w:sz="8" w:space="0" w:color="auto"/>
              <w:bottom w:val="nil"/>
              <w:right w:val="single" w:sz="8" w:space="0" w:color="auto"/>
            </w:tcBorders>
            <w:shd w:val="clear" w:color="000000" w:fill="FFFFFF"/>
            <w:noWrap/>
            <w:vAlign w:val="center"/>
            <w:hideMark/>
          </w:tcPr>
          <w:p w14:paraId="6BDF8D32" w14:textId="77777777" w:rsidR="006F5386" w:rsidRPr="006F5386" w:rsidRDefault="006F5386" w:rsidP="00E73F0F">
            <w:pPr>
              <w:jc w:val="center"/>
              <w:rPr>
                <w:rFonts w:ascii="Arial" w:hAnsi="Arial" w:cs="Arial"/>
                <w:color w:val="000000"/>
              </w:rPr>
            </w:pPr>
            <w:r w:rsidRPr="006F5386">
              <w:rPr>
                <w:rFonts w:ascii="Arial" w:hAnsi="Arial" w:cs="Arial"/>
                <w:color w:val="000000"/>
              </w:rPr>
              <w:t xml:space="preserve">$19,212 </w:t>
            </w:r>
          </w:p>
        </w:tc>
      </w:tr>
      <w:tr w:rsidR="006F5386" w:rsidRPr="006F5386" w14:paraId="2820251F" w14:textId="77777777" w:rsidTr="00E73F0F">
        <w:trPr>
          <w:trHeight w:val="315"/>
          <w:jc w:val="center"/>
        </w:trPr>
        <w:tc>
          <w:tcPr>
            <w:tcW w:w="2180" w:type="dxa"/>
            <w:tcBorders>
              <w:top w:val="single" w:sz="8" w:space="0" w:color="auto"/>
              <w:left w:val="single" w:sz="8" w:space="0" w:color="auto"/>
              <w:bottom w:val="nil"/>
              <w:right w:val="nil"/>
            </w:tcBorders>
            <w:shd w:val="clear" w:color="000000" w:fill="FFFFFF"/>
            <w:noWrap/>
            <w:vAlign w:val="center"/>
            <w:hideMark/>
          </w:tcPr>
          <w:p w14:paraId="6C77E78C" w14:textId="77777777" w:rsidR="006F5386" w:rsidRPr="006F5386" w:rsidRDefault="006F5386" w:rsidP="00E73F0F">
            <w:pPr>
              <w:jc w:val="center"/>
              <w:rPr>
                <w:rFonts w:ascii="Arial" w:hAnsi="Arial" w:cs="Arial"/>
                <w:color w:val="000000"/>
              </w:rPr>
            </w:pPr>
            <w:r w:rsidRPr="006F5386">
              <w:rPr>
                <w:rFonts w:ascii="Arial" w:hAnsi="Arial" w:cs="Arial"/>
                <w:color w:val="000000"/>
              </w:rPr>
              <w:t>2019</w:t>
            </w:r>
          </w:p>
        </w:tc>
        <w:tc>
          <w:tcPr>
            <w:tcW w:w="1120" w:type="dxa"/>
            <w:tcBorders>
              <w:top w:val="single" w:sz="8" w:space="0" w:color="auto"/>
              <w:left w:val="single" w:sz="8" w:space="0" w:color="auto"/>
              <w:bottom w:val="nil"/>
              <w:right w:val="nil"/>
            </w:tcBorders>
            <w:shd w:val="clear" w:color="000000" w:fill="FFFFFF"/>
            <w:noWrap/>
            <w:vAlign w:val="center"/>
            <w:hideMark/>
          </w:tcPr>
          <w:p w14:paraId="4EFAE78F" w14:textId="77777777" w:rsidR="006F5386" w:rsidRPr="006F5386" w:rsidRDefault="006F5386" w:rsidP="00E73F0F">
            <w:pPr>
              <w:jc w:val="center"/>
              <w:rPr>
                <w:rFonts w:ascii="Arial" w:hAnsi="Arial" w:cs="Arial"/>
                <w:color w:val="000000"/>
              </w:rPr>
            </w:pPr>
            <w:r w:rsidRPr="006F5386">
              <w:rPr>
                <w:rFonts w:ascii="Arial" w:hAnsi="Arial" w:cs="Arial"/>
                <w:color w:val="000000"/>
              </w:rPr>
              <w:t>94</w:t>
            </w:r>
          </w:p>
        </w:tc>
        <w:tc>
          <w:tcPr>
            <w:tcW w:w="2420" w:type="dxa"/>
            <w:tcBorders>
              <w:top w:val="single" w:sz="8" w:space="0" w:color="auto"/>
              <w:left w:val="single" w:sz="8" w:space="0" w:color="auto"/>
              <w:bottom w:val="nil"/>
              <w:right w:val="single" w:sz="8" w:space="0" w:color="auto"/>
            </w:tcBorders>
            <w:shd w:val="clear" w:color="000000" w:fill="FFFFFF"/>
            <w:noWrap/>
            <w:vAlign w:val="center"/>
            <w:hideMark/>
          </w:tcPr>
          <w:p w14:paraId="0A9242FA" w14:textId="77777777" w:rsidR="006F5386" w:rsidRPr="006F5386" w:rsidRDefault="006F5386" w:rsidP="00E73F0F">
            <w:pPr>
              <w:jc w:val="center"/>
              <w:rPr>
                <w:rFonts w:ascii="Arial" w:hAnsi="Arial" w:cs="Arial"/>
                <w:color w:val="000000"/>
              </w:rPr>
            </w:pPr>
            <w:r w:rsidRPr="006F5386">
              <w:rPr>
                <w:rFonts w:ascii="Arial" w:hAnsi="Arial" w:cs="Arial"/>
                <w:color w:val="000000"/>
              </w:rPr>
              <w:t xml:space="preserve">  $9,822 </w:t>
            </w:r>
          </w:p>
        </w:tc>
      </w:tr>
      <w:tr w:rsidR="006F5386" w:rsidRPr="006F5386" w14:paraId="6995C5CD" w14:textId="77777777" w:rsidTr="00E73F0F">
        <w:trPr>
          <w:trHeight w:val="315"/>
          <w:jc w:val="center"/>
        </w:trPr>
        <w:tc>
          <w:tcPr>
            <w:tcW w:w="2180" w:type="dxa"/>
            <w:tcBorders>
              <w:top w:val="single" w:sz="8" w:space="0" w:color="auto"/>
              <w:left w:val="single" w:sz="8" w:space="0" w:color="auto"/>
              <w:bottom w:val="nil"/>
              <w:right w:val="nil"/>
            </w:tcBorders>
            <w:shd w:val="clear" w:color="000000" w:fill="FFFFFF"/>
            <w:noWrap/>
            <w:vAlign w:val="center"/>
            <w:hideMark/>
          </w:tcPr>
          <w:p w14:paraId="743CE7DB" w14:textId="77777777" w:rsidR="006F5386" w:rsidRPr="006F5386" w:rsidRDefault="006F5386" w:rsidP="00E73F0F">
            <w:pPr>
              <w:jc w:val="center"/>
              <w:rPr>
                <w:rFonts w:ascii="Arial" w:hAnsi="Arial" w:cs="Arial"/>
                <w:color w:val="000000"/>
              </w:rPr>
            </w:pPr>
            <w:r w:rsidRPr="006F5386">
              <w:rPr>
                <w:rFonts w:ascii="Arial" w:hAnsi="Arial" w:cs="Arial"/>
                <w:color w:val="000000"/>
              </w:rPr>
              <w:t>2020</w:t>
            </w:r>
          </w:p>
        </w:tc>
        <w:tc>
          <w:tcPr>
            <w:tcW w:w="1120" w:type="dxa"/>
            <w:tcBorders>
              <w:top w:val="single" w:sz="8" w:space="0" w:color="auto"/>
              <w:left w:val="single" w:sz="8" w:space="0" w:color="auto"/>
              <w:bottom w:val="nil"/>
              <w:right w:val="nil"/>
            </w:tcBorders>
            <w:shd w:val="clear" w:color="000000" w:fill="FFFFFF"/>
            <w:noWrap/>
            <w:vAlign w:val="center"/>
            <w:hideMark/>
          </w:tcPr>
          <w:p w14:paraId="5F97B557" w14:textId="77777777" w:rsidR="006F5386" w:rsidRPr="006F5386" w:rsidRDefault="006F5386" w:rsidP="00E73F0F">
            <w:pPr>
              <w:jc w:val="center"/>
              <w:rPr>
                <w:rFonts w:ascii="Arial" w:hAnsi="Arial" w:cs="Arial"/>
                <w:color w:val="000000"/>
              </w:rPr>
            </w:pPr>
            <w:r w:rsidRPr="006F5386">
              <w:rPr>
                <w:rFonts w:ascii="Arial" w:hAnsi="Arial" w:cs="Arial"/>
                <w:color w:val="000000"/>
              </w:rPr>
              <w:t>85</w:t>
            </w:r>
          </w:p>
        </w:tc>
        <w:tc>
          <w:tcPr>
            <w:tcW w:w="2420" w:type="dxa"/>
            <w:tcBorders>
              <w:top w:val="single" w:sz="8" w:space="0" w:color="auto"/>
              <w:left w:val="single" w:sz="8" w:space="0" w:color="auto"/>
              <w:bottom w:val="nil"/>
              <w:right w:val="single" w:sz="8" w:space="0" w:color="auto"/>
            </w:tcBorders>
            <w:shd w:val="clear" w:color="000000" w:fill="FFFFFF"/>
            <w:noWrap/>
            <w:vAlign w:val="center"/>
            <w:hideMark/>
          </w:tcPr>
          <w:p w14:paraId="5A14C350" w14:textId="77777777" w:rsidR="006F5386" w:rsidRPr="006F5386" w:rsidRDefault="006F5386" w:rsidP="00E73F0F">
            <w:pPr>
              <w:jc w:val="center"/>
              <w:rPr>
                <w:rFonts w:ascii="Arial" w:hAnsi="Arial" w:cs="Arial"/>
                <w:color w:val="000000"/>
              </w:rPr>
            </w:pPr>
            <w:r w:rsidRPr="006F5386">
              <w:rPr>
                <w:rFonts w:ascii="Arial" w:hAnsi="Arial" w:cs="Arial"/>
                <w:color w:val="000000"/>
              </w:rPr>
              <w:t xml:space="preserve">  $9,885 </w:t>
            </w:r>
          </w:p>
        </w:tc>
      </w:tr>
      <w:tr w:rsidR="006F5386" w:rsidRPr="006F5386" w14:paraId="274B9800" w14:textId="77777777" w:rsidTr="00E73F0F">
        <w:trPr>
          <w:trHeight w:val="315"/>
          <w:jc w:val="center"/>
        </w:trPr>
        <w:tc>
          <w:tcPr>
            <w:tcW w:w="2180" w:type="dxa"/>
            <w:tcBorders>
              <w:top w:val="single" w:sz="8" w:space="0" w:color="auto"/>
              <w:left w:val="single" w:sz="8" w:space="0" w:color="auto"/>
              <w:bottom w:val="nil"/>
              <w:right w:val="nil"/>
            </w:tcBorders>
            <w:shd w:val="clear" w:color="000000" w:fill="FFFFFF"/>
            <w:noWrap/>
            <w:vAlign w:val="center"/>
            <w:hideMark/>
          </w:tcPr>
          <w:p w14:paraId="31D23F56" w14:textId="77777777" w:rsidR="006F5386" w:rsidRPr="006F5386" w:rsidRDefault="006F5386" w:rsidP="00E73F0F">
            <w:pPr>
              <w:jc w:val="center"/>
              <w:rPr>
                <w:rFonts w:ascii="Arial" w:hAnsi="Arial" w:cs="Arial"/>
                <w:color w:val="000000"/>
              </w:rPr>
            </w:pPr>
            <w:r w:rsidRPr="006F5386">
              <w:rPr>
                <w:rFonts w:ascii="Arial" w:hAnsi="Arial" w:cs="Arial"/>
                <w:color w:val="000000"/>
              </w:rPr>
              <w:t>2021</w:t>
            </w:r>
          </w:p>
        </w:tc>
        <w:tc>
          <w:tcPr>
            <w:tcW w:w="1120" w:type="dxa"/>
            <w:tcBorders>
              <w:top w:val="single" w:sz="8" w:space="0" w:color="auto"/>
              <w:left w:val="single" w:sz="8" w:space="0" w:color="auto"/>
              <w:bottom w:val="nil"/>
              <w:right w:val="nil"/>
            </w:tcBorders>
            <w:shd w:val="clear" w:color="000000" w:fill="FFFFFF"/>
            <w:noWrap/>
            <w:vAlign w:val="center"/>
            <w:hideMark/>
          </w:tcPr>
          <w:p w14:paraId="69D4955D" w14:textId="77777777" w:rsidR="006F5386" w:rsidRPr="006F5386" w:rsidRDefault="006F5386" w:rsidP="00E73F0F">
            <w:pPr>
              <w:jc w:val="center"/>
              <w:rPr>
                <w:rFonts w:ascii="Arial" w:hAnsi="Arial" w:cs="Arial"/>
                <w:color w:val="000000"/>
              </w:rPr>
            </w:pPr>
            <w:r w:rsidRPr="006F5386">
              <w:rPr>
                <w:rFonts w:ascii="Arial" w:hAnsi="Arial" w:cs="Arial"/>
                <w:color w:val="000000"/>
              </w:rPr>
              <w:t>81</w:t>
            </w:r>
          </w:p>
        </w:tc>
        <w:tc>
          <w:tcPr>
            <w:tcW w:w="2420" w:type="dxa"/>
            <w:tcBorders>
              <w:top w:val="single" w:sz="8" w:space="0" w:color="auto"/>
              <w:left w:val="single" w:sz="8" w:space="0" w:color="auto"/>
              <w:bottom w:val="nil"/>
              <w:right w:val="single" w:sz="8" w:space="0" w:color="auto"/>
            </w:tcBorders>
            <w:shd w:val="clear" w:color="000000" w:fill="FFFFFF"/>
            <w:noWrap/>
            <w:vAlign w:val="center"/>
            <w:hideMark/>
          </w:tcPr>
          <w:p w14:paraId="1B7309CC" w14:textId="77777777" w:rsidR="006F5386" w:rsidRPr="006F5386" w:rsidRDefault="006F5386" w:rsidP="00E73F0F">
            <w:pPr>
              <w:jc w:val="center"/>
              <w:rPr>
                <w:rFonts w:ascii="Arial" w:hAnsi="Arial" w:cs="Arial"/>
                <w:color w:val="000000"/>
              </w:rPr>
            </w:pPr>
            <w:r w:rsidRPr="006F5386">
              <w:rPr>
                <w:rFonts w:ascii="Arial" w:hAnsi="Arial" w:cs="Arial"/>
                <w:color w:val="000000"/>
              </w:rPr>
              <w:t xml:space="preserve">$10,848 </w:t>
            </w:r>
          </w:p>
        </w:tc>
      </w:tr>
      <w:tr w:rsidR="006F5386" w:rsidRPr="006F5386" w14:paraId="69F96435" w14:textId="77777777" w:rsidTr="00E73F0F">
        <w:trPr>
          <w:trHeight w:val="315"/>
          <w:jc w:val="center"/>
        </w:trPr>
        <w:tc>
          <w:tcPr>
            <w:tcW w:w="2180" w:type="dxa"/>
            <w:tcBorders>
              <w:top w:val="single" w:sz="8" w:space="0" w:color="auto"/>
              <w:left w:val="single" w:sz="8" w:space="0" w:color="auto"/>
              <w:bottom w:val="nil"/>
              <w:right w:val="nil"/>
            </w:tcBorders>
            <w:shd w:val="clear" w:color="000000" w:fill="FFFFFF"/>
            <w:noWrap/>
            <w:vAlign w:val="center"/>
            <w:hideMark/>
          </w:tcPr>
          <w:p w14:paraId="1A12F704" w14:textId="77777777" w:rsidR="006F5386" w:rsidRPr="006F5386" w:rsidRDefault="006F5386" w:rsidP="00E73F0F">
            <w:pPr>
              <w:jc w:val="center"/>
              <w:rPr>
                <w:rFonts w:ascii="Arial" w:hAnsi="Arial" w:cs="Arial"/>
                <w:color w:val="000000"/>
              </w:rPr>
            </w:pPr>
            <w:r w:rsidRPr="006F5386">
              <w:rPr>
                <w:rFonts w:ascii="Arial" w:hAnsi="Arial" w:cs="Arial"/>
                <w:color w:val="000000"/>
              </w:rPr>
              <w:t>2022</w:t>
            </w:r>
          </w:p>
        </w:tc>
        <w:tc>
          <w:tcPr>
            <w:tcW w:w="1120" w:type="dxa"/>
            <w:tcBorders>
              <w:top w:val="single" w:sz="8" w:space="0" w:color="auto"/>
              <w:left w:val="single" w:sz="8" w:space="0" w:color="auto"/>
              <w:bottom w:val="nil"/>
              <w:right w:val="nil"/>
            </w:tcBorders>
            <w:shd w:val="clear" w:color="000000" w:fill="FFFFFF"/>
            <w:noWrap/>
            <w:vAlign w:val="center"/>
            <w:hideMark/>
          </w:tcPr>
          <w:p w14:paraId="649B2513" w14:textId="77777777" w:rsidR="006F5386" w:rsidRPr="006F5386" w:rsidRDefault="006F5386" w:rsidP="00E73F0F">
            <w:pPr>
              <w:jc w:val="center"/>
              <w:rPr>
                <w:rFonts w:ascii="Arial" w:hAnsi="Arial" w:cs="Arial"/>
                <w:color w:val="000000"/>
              </w:rPr>
            </w:pPr>
            <w:r w:rsidRPr="006F5386">
              <w:rPr>
                <w:rFonts w:ascii="Arial" w:hAnsi="Arial" w:cs="Arial"/>
                <w:color w:val="000000"/>
              </w:rPr>
              <w:t>80</w:t>
            </w:r>
          </w:p>
        </w:tc>
        <w:tc>
          <w:tcPr>
            <w:tcW w:w="2420" w:type="dxa"/>
            <w:tcBorders>
              <w:top w:val="single" w:sz="8" w:space="0" w:color="auto"/>
              <w:left w:val="single" w:sz="8" w:space="0" w:color="auto"/>
              <w:bottom w:val="nil"/>
              <w:right w:val="single" w:sz="8" w:space="0" w:color="auto"/>
            </w:tcBorders>
            <w:shd w:val="clear" w:color="000000" w:fill="FFFFFF"/>
            <w:noWrap/>
            <w:vAlign w:val="center"/>
            <w:hideMark/>
          </w:tcPr>
          <w:p w14:paraId="2EEA34D4" w14:textId="77777777" w:rsidR="006F5386" w:rsidRPr="006F5386" w:rsidRDefault="006F5386" w:rsidP="00E73F0F">
            <w:pPr>
              <w:jc w:val="center"/>
              <w:rPr>
                <w:rFonts w:ascii="Arial" w:hAnsi="Arial" w:cs="Arial"/>
                <w:color w:val="000000"/>
              </w:rPr>
            </w:pPr>
            <w:r w:rsidRPr="006F5386">
              <w:rPr>
                <w:rFonts w:ascii="Arial" w:hAnsi="Arial" w:cs="Arial"/>
                <w:color w:val="000000"/>
              </w:rPr>
              <w:t xml:space="preserve">$10,964 </w:t>
            </w:r>
          </w:p>
        </w:tc>
      </w:tr>
      <w:tr w:rsidR="006F5386" w:rsidRPr="006F5386" w14:paraId="42962AA6" w14:textId="77777777" w:rsidTr="00E73F0F">
        <w:trPr>
          <w:trHeight w:val="330"/>
          <w:jc w:val="center"/>
        </w:trPr>
        <w:tc>
          <w:tcPr>
            <w:tcW w:w="2180" w:type="dxa"/>
            <w:tcBorders>
              <w:top w:val="single" w:sz="8" w:space="0" w:color="auto"/>
              <w:left w:val="single" w:sz="8" w:space="0" w:color="auto"/>
              <w:bottom w:val="single" w:sz="8" w:space="0" w:color="auto"/>
              <w:right w:val="nil"/>
            </w:tcBorders>
            <w:shd w:val="clear" w:color="000000" w:fill="FFFFFF"/>
            <w:noWrap/>
            <w:vAlign w:val="center"/>
            <w:hideMark/>
          </w:tcPr>
          <w:p w14:paraId="1F863221" w14:textId="77777777" w:rsidR="006F5386" w:rsidRPr="006F5386" w:rsidRDefault="006F5386" w:rsidP="00E73F0F">
            <w:pPr>
              <w:jc w:val="center"/>
              <w:rPr>
                <w:rFonts w:ascii="Arial" w:hAnsi="Arial" w:cs="Arial"/>
                <w:b/>
                <w:bCs/>
                <w:color w:val="000000"/>
              </w:rPr>
            </w:pPr>
            <w:r w:rsidRPr="006F5386">
              <w:rPr>
                <w:rFonts w:ascii="Arial" w:hAnsi="Arial" w:cs="Arial"/>
                <w:b/>
                <w:bCs/>
                <w:color w:val="000000"/>
              </w:rPr>
              <w:t>5-Year Total</w:t>
            </w:r>
          </w:p>
        </w:tc>
        <w:tc>
          <w:tcPr>
            <w:tcW w:w="1120" w:type="dxa"/>
            <w:tcBorders>
              <w:top w:val="single" w:sz="8" w:space="0" w:color="auto"/>
              <w:left w:val="single" w:sz="8" w:space="0" w:color="auto"/>
              <w:bottom w:val="single" w:sz="8" w:space="0" w:color="auto"/>
              <w:right w:val="nil"/>
            </w:tcBorders>
            <w:shd w:val="clear" w:color="000000" w:fill="FFFFFF"/>
            <w:noWrap/>
            <w:vAlign w:val="center"/>
            <w:hideMark/>
          </w:tcPr>
          <w:p w14:paraId="7A3DCC8A" w14:textId="77777777" w:rsidR="006F5386" w:rsidRPr="006F5386" w:rsidRDefault="006F5386" w:rsidP="00E73F0F">
            <w:pPr>
              <w:jc w:val="center"/>
              <w:rPr>
                <w:rFonts w:ascii="Arial" w:hAnsi="Arial" w:cs="Arial"/>
                <w:color w:val="000000"/>
              </w:rPr>
            </w:pPr>
            <w:r w:rsidRPr="006F5386">
              <w:rPr>
                <w:rFonts w:ascii="Arial" w:hAnsi="Arial" w:cs="Arial"/>
                <w:color w:val="000000"/>
              </w:rPr>
              <w:t> </w:t>
            </w:r>
          </w:p>
        </w:tc>
        <w:tc>
          <w:tcPr>
            <w:tcW w:w="24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FDCBEF3" w14:textId="77777777" w:rsidR="006F5386" w:rsidRPr="006F5386" w:rsidRDefault="006F5386" w:rsidP="00E73F0F">
            <w:pPr>
              <w:jc w:val="center"/>
              <w:rPr>
                <w:rFonts w:ascii="Arial" w:hAnsi="Arial" w:cs="Arial"/>
                <w:b/>
                <w:bCs/>
                <w:color w:val="000000"/>
              </w:rPr>
            </w:pPr>
            <w:r w:rsidRPr="006F5386">
              <w:rPr>
                <w:rFonts w:ascii="Arial" w:hAnsi="Arial" w:cs="Arial"/>
                <w:b/>
                <w:bCs/>
                <w:color w:val="000000"/>
              </w:rPr>
              <w:t xml:space="preserve">$60,731 </w:t>
            </w:r>
          </w:p>
        </w:tc>
      </w:tr>
    </w:tbl>
    <w:p w14:paraId="15EEE8E4" w14:textId="77777777" w:rsidR="006F5386" w:rsidRPr="006F5386" w:rsidRDefault="006F5386" w:rsidP="006F5386">
      <w:pPr>
        <w:rPr>
          <w:rFonts w:ascii="Arial" w:eastAsia="Arial Unicode MS" w:hAnsi="Arial" w:cs="Arial"/>
          <w:u w:val="single"/>
        </w:rPr>
      </w:pPr>
    </w:p>
    <w:p w14:paraId="09692A5B" w14:textId="77777777" w:rsidR="006F5386" w:rsidRPr="006F5386" w:rsidRDefault="006F5386" w:rsidP="006F5386">
      <w:pPr>
        <w:rPr>
          <w:rFonts w:ascii="Arial" w:eastAsia="Arial Unicode MS" w:hAnsi="Arial" w:cs="Arial"/>
          <w:u w:val="single"/>
        </w:rPr>
      </w:pPr>
    </w:p>
    <w:p w14:paraId="228A8907" w14:textId="77777777" w:rsidR="006F5386" w:rsidRPr="006F5386" w:rsidRDefault="006F5386" w:rsidP="006F5386">
      <w:pPr>
        <w:rPr>
          <w:rFonts w:ascii="Arial" w:eastAsia="Arial Unicode MS" w:hAnsi="Arial" w:cs="Arial"/>
          <w:u w:val="single"/>
        </w:rPr>
      </w:pPr>
      <w:r w:rsidRPr="006F5386">
        <w:rPr>
          <w:rFonts w:ascii="Arial" w:eastAsia="Arial Unicode MS" w:hAnsi="Arial" w:cs="Arial"/>
          <w:u w:val="single"/>
        </w:rPr>
        <w:t xml:space="preserve">Information Technology (IT) Costs  </w:t>
      </w:r>
    </w:p>
    <w:p w14:paraId="37B78C36" w14:textId="77777777" w:rsidR="006F5386" w:rsidRPr="006F5386" w:rsidRDefault="006F5386" w:rsidP="006F5386">
      <w:pPr>
        <w:rPr>
          <w:rFonts w:ascii="Arial" w:eastAsia="Arial Unicode MS" w:hAnsi="Arial" w:cs="Arial"/>
        </w:rPr>
      </w:pPr>
      <w:r w:rsidRPr="006F5386">
        <w:rPr>
          <w:rFonts w:ascii="Arial" w:eastAsia="Arial Unicode MS" w:hAnsi="Arial" w:cs="Arial"/>
        </w:rPr>
        <w:t xml:space="preserve">Estimated </w:t>
      </w:r>
      <w:r w:rsidRPr="006F5386">
        <w:rPr>
          <w:rFonts w:ascii="Arial" w:hAnsi="Arial" w:cs="Arial"/>
        </w:rPr>
        <w:t xml:space="preserve">IT costs for the first year are $335,000.  Five-year costs are estimated to be $1 million. </w:t>
      </w:r>
      <w:r w:rsidRPr="006F5386">
        <w:rPr>
          <w:rFonts w:ascii="Arial" w:eastAsia="Arial Unicode MS" w:hAnsi="Arial" w:cs="Arial"/>
        </w:rPr>
        <w:t xml:space="preserve">This includes the IT equipment for FTE, installation, maintenance, and IT support. </w:t>
      </w:r>
    </w:p>
    <w:p w14:paraId="178AD613" w14:textId="77777777" w:rsidR="006F5386" w:rsidRPr="006F5386" w:rsidRDefault="006F5386" w:rsidP="006F5386">
      <w:pPr>
        <w:rPr>
          <w:rFonts w:ascii="Arial" w:hAnsi="Arial" w:cs="Arial"/>
        </w:rPr>
      </w:pPr>
    </w:p>
    <w:tbl>
      <w:tblPr>
        <w:tblW w:w="5720" w:type="dxa"/>
        <w:jc w:val="center"/>
        <w:tblLook w:val="04A0" w:firstRow="1" w:lastRow="0" w:firstColumn="1" w:lastColumn="0" w:noHBand="0" w:noVBand="1"/>
      </w:tblPr>
      <w:tblGrid>
        <w:gridCol w:w="2180"/>
        <w:gridCol w:w="1120"/>
        <w:gridCol w:w="2370"/>
        <w:gridCol w:w="50"/>
      </w:tblGrid>
      <w:tr w:rsidR="006F5386" w:rsidRPr="006F5386" w14:paraId="686BD029" w14:textId="77777777" w:rsidTr="00E73F0F">
        <w:trPr>
          <w:gridAfter w:val="1"/>
          <w:wAfter w:w="29" w:type="dxa"/>
          <w:trHeight w:val="330"/>
          <w:jc w:val="center"/>
        </w:trPr>
        <w:tc>
          <w:tcPr>
            <w:tcW w:w="5670"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443644E" w14:textId="77777777" w:rsidR="006F5386" w:rsidRPr="006F5386" w:rsidRDefault="006F5386" w:rsidP="00E73F0F">
            <w:pPr>
              <w:jc w:val="center"/>
              <w:rPr>
                <w:rFonts w:ascii="Arial" w:hAnsi="Arial" w:cs="Arial"/>
                <w:b/>
                <w:bCs/>
                <w:color w:val="000000"/>
              </w:rPr>
            </w:pPr>
            <w:r w:rsidRPr="006F5386">
              <w:rPr>
                <w:rFonts w:ascii="Arial" w:hAnsi="Arial" w:cs="Arial"/>
                <w:b/>
                <w:bCs/>
                <w:color w:val="000000"/>
              </w:rPr>
              <w:t>IT Costs</w:t>
            </w:r>
          </w:p>
        </w:tc>
      </w:tr>
      <w:tr w:rsidR="006F5386" w:rsidRPr="006F5386" w14:paraId="036B7A70" w14:textId="77777777" w:rsidTr="00E73F0F">
        <w:trPr>
          <w:trHeight w:val="330"/>
          <w:jc w:val="center"/>
        </w:trPr>
        <w:tc>
          <w:tcPr>
            <w:tcW w:w="2180" w:type="dxa"/>
            <w:tcBorders>
              <w:top w:val="nil"/>
              <w:left w:val="single" w:sz="8" w:space="0" w:color="auto"/>
              <w:bottom w:val="nil"/>
              <w:right w:val="nil"/>
            </w:tcBorders>
            <w:shd w:val="clear" w:color="000000" w:fill="FFFFFF"/>
            <w:vAlign w:val="center"/>
            <w:hideMark/>
          </w:tcPr>
          <w:p w14:paraId="0B1DAE35" w14:textId="77777777" w:rsidR="006F5386" w:rsidRPr="006F5386" w:rsidRDefault="006F5386" w:rsidP="00E73F0F">
            <w:pPr>
              <w:jc w:val="center"/>
              <w:rPr>
                <w:rFonts w:ascii="Arial" w:hAnsi="Arial" w:cs="Arial"/>
                <w:b/>
                <w:bCs/>
              </w:rPr>
            </w:pPr>
            <w:r w:rsidRPr="006F5386">
              <w:rPr>
                <w:rFonts w:ascii="Arial" w:hAnsi="Arial" w:cs="Arial"/>
                <w:b/>
                <w:bCs/>
              </w:rPr>
              <w:t>Fiscal Year</w:t>
            </w:r>
          </w:p>
        </w:tc>
        <w:tc>
          <w:tcPr>
            <w:tcW w:w="1120" w:type="dxa"/>
            <w:tcBorders>
              <w:top w:val="nil"/>
              <w:left w:val="single" w:sz="8" w:space="0" w:color="auto"/>
              <w:bottom w:val="nil"/>
              <w:right w:val="nil"/>
            </w:tcBorders>
            <w:shd w:val="clear" w:color="000000" w:fill="FFFFFF"/>
            <w:vAlign w:val="center"/>
            <w:hideMark/>
          </w:tcPr>
          <w:p w14:paraId="0CB0DDA8" w14:textId="77777777" w:rsidR="006F5386" w:rsidRPr="006F5386" w:rsidRDefault="006F5386" w:rsidP="00E73F0F">
            <w:pPr>
              <w:jc w:val="center"/>
              <w:rPr>
                <w:rFonts w:ascii="Arial" w:hAnsi="Arial" w:cs="Arial"/>
                <w:b/>
                <w:bCs/>
              </w:rPr>
            </w:pPr>
            <w:r w:rsidRPr="006F5386">
              <w:rPr>
                <w:rFonts w:ascii="Arial" w:hAnsi="Arial" w:cs="Arial"/>
                <w:b/>
                <w:bCs/>
              </w:rPr>
              <w:t>FTE</w:t>
            </w:r>
          </w:p>
        </w:tc>
        <w:tc>
          <w:tcPr>
            <w:tcW w:w="2420" w:type="dxa"/>
            <w:gridSpan w:val="2"/>
            <w:tcBorders>
              <w:top w:val="nil"/>
              <w:left w:val="single" w:sz="8" w:space="0" w:color="auto"/>
              <w:bottom w:val="nil"/>
              <w:right w:val="single" w:sz="8" w:space="0" w:color="auto"/>
            </w:tcBorders>
            <w:shd w:val="clear" w:color="000000" w:fill="FFFFFF"/>
            <w:vAlign w:val="center"/>
            <w:hideMark/>
          </w:tcPr>
          <w:p w14:paraId="7834248F" w14:textId="77777777" w:rsidR="006F5386" w:rsidRPr="006F5386" w:rsidRDefault="006F5386" w:rsidP="00E73F0F">
            <w:pPr>
              <w:jc w:val="center"/>
              <w:rPr>
                <w:rFonts w:ascii="Arial" w:hAnsi="Arial" w:cs="Arial"/>
                <w:b/>
                <w:bCs/>
              </w:rPr>
            </w:pPr>
            <w:r w:rsidRPr="006F5386">
              <w:rPr>
                <w:rFonts w:ascii="Arial" w:hAnsi="Arial" w:cs="Arial"/>
                <w:b/>
                <w:bCs/>
              </w:rPr>
              <w:t>Obligations ($000)</w:t>
            </w:r>
          </w:p>
        </w:tc>
      </w:tr>
      <w:tr w:rsidR="006F5386" w:rsidRPr="006F5386" w14:paraId="02209A89" w14:textId="77777777" w:rsidTr="00E73F0F">
        <w:trPr>
          <w:trHeight w:val="315"/>
          <w:jc w:val="center"/>
        </w:trPr>
        <w:tc>
          <w:tcPr>
            <w:tcW w:w="2180" w:type="dxa"/>
            <w:tcBorders>
              <w:top w:val="single" w:sz="8" w:space="0" w:color="auto"/>
              <w:left w:val="single" w:sz="8" w:space="0" w:color="auto"/>
              <w:bottom w:val="nil"/>
              <w:right w:val="nil"/>
            </w:tcBorders>
            <w:shd w:val="clear" w:color="000000" w:fill="FFFFFF"/>
            <w:noWrap/>
            <w:vAlign w:val="center"/>
            <w:hideMark/>
          </w:tcPr>
          <w:p w14:paraId="4D44D129" w14:textId="77777777" w:rsidR="006F5386" w:rsidRPr="006F5386" w:rsidRDefault="006F5386" w:rsidP="00E73F0F">
            <w:pPr>
              <w:jc w:val="center"/>
              <w:rPr>
                <w:rFonts w:ascii="Arial" w:hAnsi="Arial" w:cs="Arial"/>
                <w:color w:val="000000"/>
              </w:rPr>
            </w:pPr>
            <w:r w:rsidRPr="006F5386">
              <w:rPr>
                <w:rFonts w:ascii="Arial" w:hAnsi="Arial" w:cs="Arial"/>
                <w:color w:val="000000"/>
              </w:rPr>
              <w:t>2018</w:t>
            </w:r>
          </w:p>
        </w:tc>
        <w:tc>
          <w:tcPr>
            <w:tcW w:w="1120" w:type="dxa"/>
            <w:tcBorders>
              <w:top w:val="single" w:sz="8" w:space="0" w:color="auto"/>
              <w:left w:val="single" w:sz="8" w:space="0" w:color="auto"/>
              <w:bottom w:val="nil"/>
              <w:right w:val="nil"/>
            </w:tcBorders>
            <w:shd w:val="clear" w:color="000000" w:fill="FFFFFF"/>
            <w:noWrap/>
            <w:vAlign w:val="center"/>
            <w:hideMark/>
          </w:tcPr>
          <w:p w14:paraId="6418EDC1" w14:textId="77777777" w:rsidR="006F5386" w:rsidRPr="006F5386" w:rsidRDefault="006F5386" w:rsidP="00E73F0F">
            <w:pPr>
              <w:jc w:val="center"/>
              <w:rPr>
                <w:rFonts w:ascii="Arial" w:hAnsi="Arial" w:cs="Arial"/>
                <w:color w:val="000000"/>
              </w:rPr>
            </w:pPr>
            <w:r w:rsidRPr="006F5386">
              <w:rPr>
                <w:rFonts w:ascii="Arial" w:hAnsi="Arial" w:cs="Arial"/>
                <w:color w:val="000000"/>
              </w:rPr>
              <w:t>174</w:t>
            </w:r>
          </w:p>
        </w:tc>
        <w:tc>
          <w:tcPr>
            <w:tcW w:w="2420" w:type="dxa"/>
            <w:gridSpan w:val="2"/>
            <w:tcBorders>
              <w:top w:val="single" w:sz="8" w:space="0" w:color="auto"/>
              <w:left w:val="single" w:sz="8" w:space="0" w:color="auto"/>
              <w:bottom w:val="nil"/>
              <w:right w:val="single" w:sz="8" w:space="0" w:color="auto"/>
            </w:tcBorders>
            <w:shd w:val="clear" w:color="000000" w:fill="FFFFFF"/>
            <w:noWrap/>
            <w:vAlign w:val="center"/>
            <w:hideMark/>
          </w:tcPr>
          <w:p w14:paraId="2B65F97A" w14:textId="77777777" w:rsidR="006F5386" w:rsidRPr="006F5386" w:rsidRDefault="006F5386" w:rsidP="00E73F0F">
            <w:pPr>
              <w:jc w:val="center"/>
              <w:rPr>
                <w:rFonts w:ascii="Arial" w:hAnsi="Arial" w:cs="Arial"/>
                <w:color w:val="000000"/>
              </w:rPr>
            </w:pPr>
            <w:r w:rsidRPr="006F5386">
              <w:rPr>
                <w:rFonts w:ascii="Arial" w:hAnsi="Arial" w:cs="Arial"/>
                <w:color w:val="000000"/>
              </w:rPr>
              <w:t xml:space="preserve">$335 </w:t>
            </w:r>
          </w:p>
        </w:tc>
      </w:tr>
      <w:tr w:rsidR="006F5386" w:rsidRPr="006F5386" w14:paraId="79198A12" w14:textId="77777777" w:rsidTr="00E73F0F">
        <w:trPr>
          <w:trHeight w:val="315"/>
          <w:jc w:val="center"/>
        </w:trPr>
        <w:tc>
          <w:tcPr>
            <w:tcW w:w="2180" w:type="dxa"/>
            <w:tcBorders>
              <w:top w:val="single" w:sz="8" w:space="0" w:color="auto"/>
              <w:left w:val="single" w:sz="8" w:space="0" w:color="auto"/>
              <w:bottom w:val="nil"/>
              <w:right w:val="nil"/>
            </w:tcBorders>
            <w:shd w:val="clear" w:color="000000" w:fill="FFFFFF"/>
            <w:noWrap/>
            <w:vAlign w:val="center"/>
            <w:hideMark/>
          </w:tcPr>
          <w:p w14:paraId="37D52BBF" w14:textId="77777777" w:rsidR="006F5386" w:rsidRPr="006F5386" w:rsidRDefault="006F5386" w:rsidP="00E73F0F">
            <w:pPr>
              <w:jc w:val="center"/>
              <w:rPr>
                <w:rFonts w:ascii="Arial" w:hAnsi="Arial" w:cs="Arial"/>
                <w:color w:val="000000"/>
              </w:rPr>
            </w:pPr>
            <w:r w:rsidRPr="006F5386">
              <w:rPr>
                <w:rFonts w:ascii="Arial" w:hAnsi="Arial" w:cs="Arial"/>
                <w:color w:val="000000"/>
              </w:rPr>
              <w:t>2019</w:t>
            </w:r>
          </w:p>
        </w:tc>
        <w:tc>
          <w:tcPr>
            <w:tcW w:w="1120" w:type="dxa"/>
            <w:tcBorders>
              <w:top w:val="single" w:sz="8" w:space="0" w:color="auto"/>
              <w:left w:val="single" w:sz="8" w:space="0" w:color="auto"/>
              <w:bottom w:val="nil"/>
              <w:right w:val="nil"/>
            </w:tcBorders>
            <w:shd w:val="clear" w:color="000000" w:fill="FFFFFF"/>
            <w:noWrap/>
            <w:vAlign w:val="center"/>
            <w:hideMark/>
          </w:tcPr>
          <w:p w14:paraId="07FC1E27" w14:textId="77777777" w:rsidR="006F5386" w:rsidRPr="006F5386" w:rsidRDefault="006F5386" w:rsidP="00E73F0F">
            <w:pPr>
              <w:jc w:val="center"/>
              <w:rPr>
                <w:rFonts w:ascii="Arial" w:hAnsi="Arial" w:cs="Arial"/>
                <w:color w:val="000000"/>
              </w:rPr>
            </w:pPr>
            <w:r w:rsidRPr="006F5386">
              <w:rPr>
                <w:rFonts w:ascii="Arial" w:hAnsi="Arial" w:cs="Arial"/>
                <w:color w:val="000000"/>
              </w:rPr>
              <w:t>94</w:t>
            </w:r>
          </w:p>
        </w:tc>
        <w:tc>
          <w:tcPr>
            <w:tcW w:w="2420" w:type="dxa"/>
            <w:gridSpan w:val="2"/>
            <w:tcBorders>
              <w:top w:val="single" w:sz="8" w:space="0" w:color="auto"/>
              <w:left w:val="single" w:sz="8" w:space="0" w:color="auto"/>
              <w:bottom w:val="nil"/>
              <w:right w:val="single" w:sz="8" w:space="0" w:color="auto"/>
            </w:tcBorders>
            <w:shd w:val="clear" w:color="000000" w:fill="FFFFFF"/>
            <w:noWrap/>
            <w:vAlign w:val="center"/>
            <w:hideMark/>
          </w:tcPr>
          <w:p w14:paraId="6E1D6787" w14:textId="77777777" w:rsidR="006F5386" w:rsidRPr="006F5386" w:rsidRDefault="006F5386" w:rsidP="00E73F0F">
            <w:pPr>
              <w:jc w:val="center"/>
              <w:rPr>
                <w:rFonts w:ascii="Arial" w:hAnsi="Arial" w:cs="Arial"/>
                <w:color w:val="000000"/>
              </w:rPr>
            </w:pPr>
            <w:r w:rsidRPr="006F5386">
              <w:rPr>
                <w:rFonts w:ascii="Arial" w:hAnsi="Arial" w:cs="Arial"/>
                <w:color w:val="000000"/>
              </w:rPr>
              <w:t xml:space="preserve">$183 </w:t>
            </w:r>
          </w:p>
        </w:tc>
      </w:tr>
      <w:tr w:rsidR="006F5386" w:rsidRPr="006F5386" w14:paraId="54DEC87B" w14:textId="77777777" w:rsidTr="00E73F0F">
        <w:trPr>
          <w:trHeight w:val="315"/>
          <w:jc w:val="center"/>
        </w:trPr>
        <w:tc>
          <w:tcPr>
            <w:tcW w:w="2180" w:type="dxa"/>
            <w:tcBorders>
              <w:top w:val="single" w:sz="8" w:space="0" w:color="auto"/>
              <w:left w:val="single" w:sz="8" w:space="0" w:color="auto"/>
              <w:bottom w:val="nil"/>
              <w:right w:val="nil"/>
            </w:tcBorders>
            <w:shd w:val="clear" w:color="000000" w:fill="FFFFFF"/>
            <w:noWrap/>
            <w:vAlign w:val="center"/>
            <w:hideMark/>
          </w:tcPr>
          <w:p w14:paraId="63D2C142" w14:textId="77777777" w:rsidR="006F5386" w:rsidRPr="006F5386" w:rsidRDefault="006F5386" w:rsidP="00E73F0F">
            <w:pPr>
              <w:jc w:val="center"/>
              <w:rPr>
                <w:rFonts w:ascii="Arial" w:hAnsi="Arial" w:cs="Arial"/>
                <w:color w:val="000000"/>
              </w:rPr>
            </w:pPr>
            <w:r w:rsidRPr="006F5386">
              <w:rPr>
                <w:rFonts w:ascii="Arial" w:hAnsi="Arial" w:cs="Arial"/>
                <w:color w:val="000000"/>
              </w:rPr>
              <w:t>2020</w:t>
            </w:r>
          </w:p>
        </w:tc>
        <w:tc>
          <w:tcPr>
            <w:tcW w:w="1120" w:type="dxa"/>
            <w:tcBorders>
              <w:top w:val="single" w:sz="8" w:space="0" w:color="auto"/>
              <w:left w:val="single" w:sz="8" w:space="0" w:color="auto"/>
              <w:bottom w:val="nil"/>
              <w:right w:val="nil"/>
            </w:tcBorders>
            <w:shd w:val="clear" w:color="000000" w:fill="FFFFFF"/>
            <w:noWrap/>
            <w:vAlign w:val="center"/>
            <w:hideMark/>
          </w:tcPr>
          <w:p w14:paraId="274CF066" w14:textId="77777777" w:rsidR="006F5386" w:rsidRPr="006F5386" w:rsidRDefault="006F5386" w:rsidP="00E73F0F">
            <w:pPr>
              <w:jc w:val="center"/>
              <w:rPr>
                <w:rFonts w:ascii="Arial" w:hAnsi="Arial" w:cs="Arial"/>
                <w:color w:val="000000"/>
              </w:rPr>
            </w:pPr>
            <w:r w:rsidRPr="006F5386">
              <w:rPr>
                <w:rFonts w:ascii="Arial" w:hAnsi="Arial" w:cs="Arial"/>
                <w:color w:val="000000"/>
              </w:rPr>
              <w:t>85</w:t>
            </w:r>
          </w:p>
        </w:tc>
        <w:tc>
          <w:tcPr>
            <w:tcW w:w="2420" w:type="dxa"/>
            <w:gridSpan w:val="2"/>
            <w:tcBorders>
              <w:top w:val="single" w:sz="8" w:space="0" w:color="auto"/>
              <w:left w:val="single" w:sz="8" w:space="0" w:color="auto"/>
              <w:bottom w:val="nil"/>
              <w:right w:val="single" w:sz="8" w:space="0" w:color="auto"/>
            </w:tcBorders>
            <w:shd w:val="clear" w:color="000000" w:fill="FFFFFF"/>
            <w:noWrap/>
            <w:vAlign w:val="center"/>
            <w:hideMark/>
          </w:tcPr>
          <w:p w14:paraId="4DAF305A" w14:textId="77777777" w:rsidR="006F5386" w:rsidRPr="006F5386" w:rsidRDefault="006F5386" w:rsidP="00E73F0F">
            <w:pPr>
              <w:jc w:val="center"/>
              <w:rPr>
                <w:rFonts w:ascii="Arial" w:hAnsi="Arial" w:cs="Arial"/>
                <w:color w:val="000000"/>
              </w:rPr>
            </w:pPr>
            <w:r w:rsidRPr="006F5386">
              <w:rPr>
                <w:rFonts w:ascii="Arial" w:hAnsi="Arial" w:cs="Arial"/>
                <w:color w:val="000000"/>
              </w:rPr>
              <w:t xml:space="preserve">$169 </w:t>
            </w:r>
          </w:p>
        </w:tc>
      </w:tr>
      <w:tr w:rsidR="006F5386" w:rsidRPr="006F5386" w14:paraId="260B7A38" w14:textId="77777777" w:rsidTr="00E73F0F">
        <w:trPr>
          <w:trHeight w:val="315"/>
          <w:jc w:val="center"/>
        </w:trPr>
        <w:tc>
          <w:tcPr>
            <w:tcW w:w="2180" w:type="dxa"/>
            <w:tcBorders>
              <w:top w:val="single" w:sz="8" w:space="0" w:color="auto"/>
              <w:left w:val="single" w:sz="8" w:space="0" w:color="auto"/>
              <w:bottom w:val="single" w:sz="8" w:space="0" w:color="auto"/>
              <w:right w:val="nil"/>
            </w:tcBorders>
            <w:shd w:val="clear" w:color="000000" w:fill="FFFFFF"/>
            <w:noWrap/>
            <w:vAlign w:val="center"/>
            <w:hideMark/>
          </w:tcPr>
          <w:p w14:paraId="01BE0415" w14:textId="77777777" w:rsidR="006F5386" w:rsidRPr="006F5386" w:rsidRDefault="006F5386" w:rsidP="00E73F0F">
            <w:pPr>
              <w:jc w:val="center"/>
              <w:rPr>
                <w:rFonts w:ascii="Arial" w:hAnsi="Arial" w:cs="Arial"/>
                <w:color w:val="000000"/>
              </w:rPr>
            </w:pPr>
            <w:r w:rsidRPr="006F5386">
              <w:rPr>
                <w:rFonts w:ascii="Arial" w:hAnsi="Arial" w:cs="Arial"/>
                <w:color w:val="000000"/>
              </w:rPr>
              <w:t>2021</w:t>
            </w:r>
          </w:p>
        </w:tc>
        <w:tc>
          <w:tcPr>
            <w:tcW w:w="1120" w:type="dxa"/>
            <w:tcBorders>
              <w:top w:val="single" w:sz="8" w:space="0" w:color="auto"/>
              <w:left w:val="single" w:sz="8" w:space="0" w:color="auto"/>
              <w:bottom w:val="single" w:sz="8" w:space="0" w:color="auto"/>
              <w:right w:val="nil"/>
            </w:tcBorders>
            <w:shd w:val="clear" w:color="000000" w:fill="FFFFFF"/>
            <w:noWrap/>
            <w:vAlign w:val="center"/>
            <w:hideMark/>
          </w:tcPr>
          <w:p w14:paraId="71AF5498" w14:textId="77777777" w:rsidR="006F5386" w:rsidRPr="006F5386" w:rsidRDefault="006F5386" w:rsidP="00E73F0F">
            <w:pPr>
              <w:jc w:val="center"/>
              <w:rPr>
                <w:rFonts w:ascii="Arial" w:hAnsi="Arial" w:cs="Arial"/>
                <w:color w:val="000000"/>
              </w:rPr>
            </w:pPr>
            <w:r w:rsidRPr="006F5386">
              <w:rPr>
                <w:rFonts w:ascii="Arial" w:hAnsi="Arial" w:cs="Arial"/>
                <w:color w:val="000000"/>
              </w:rPr>
              <w:t>81</w:t>
            </w:r>
          </w:p>
        </w:tc>
        <w:tc>
          <w:tcPr>
            <w:tcW w:w="242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E4D498C" w14:textId="77777777" w:rsidR="006F5386" w:rsidRPr="006F5386" w:rsidRDefault="006F5386" w:rsidP="00E73F0F">
            <w:pPr>
              <w:jc w:val="center"/>
              <w:rPr>
                <w:rFonts w:ascii="Arial" w:hAnsi="Arial" w:cs="Arial"/>
                <w:color w:val="000000"/>
              </w:rPr>
            </w:pPr>
            <w:r w:rsidRPr="006F5386">
              <w:rPr>
                <w:rFonts w:ascii="Arial" w:hAnsi="Arial" w:cs="Arial"/>
                <w:color w:val="000000"/>
              </w:rPr>
              <w:t xml:space="preserve">$165 </w:t>
            </w:r>
          </w:p>
        </w:tc>
      </w:tr>
      <w:tr w:rsidR="006F5386" w:rsidRPr="006F5386" w14:paraId="5888FD41" w14:textId="77777777" w:rsidTr="00E73F0F">
        <w:trPr>
          <w:trHeight w:val="315"/>
          <w:jc w:val="center"/>
        </w:trPr>
        <w:tc>
          <w:tcPr>
            <w:tcW w:w="2180" w:type="dxa"/>
            <w:tcBorders>
              <w:top w:val="single" w:sz="8" w:space="0" w:color="auto"/>
              <w:left w:val="single" w:sz="8" w:space="0" w:color="auto"/>
              <w:bottom w:val="single" w:sz="8" w:space="0" w:color="auto"/>
              <w:right w:val="nil"/>
            </w:tcBorders>
            <w:shd w:val="clear" w:color="000000" w:fill="FFFFFF"/>
            <w:noWrap/>
            <w:vAlign w:val="center"/>
            <w:hideMark/>
          </w:tcPr>
          <w:p w14:paraId="215C81A6" w14:textId="77777777" w:rsidR="006F5386" w:rsidRPr="006F5386" w:rsidRDefault="006F5386" w:rsidP="00E73F0F">
            <w:pPr>
              <w:jc w:val="center"/>
              <w:rPr>
                <w:rFonts w:ascii="Arial" w:hAnsi="Arial" w:cs="Arial"/>
                <w:color w:val="000000"/>
              </w:rPr>
            </w:pPr>
            <w:r w:rsidRPr="006F5386">
              <w:rPr>
                <w:rFonts w:ascii="Arial" w:hAnsi="Arial" w:cs="Arial"/>
                <w:color w:val="000000"/>
              </w:rPr>
              <w:t>2022</w:t>
            </w:r>
          </w:p>
        </w:tc>
        <w:tc>
          <w:tcPr>
            <w:tcW w:w="1120" w:type="dxa"/>
            <w:tcBorders>
              <w:top w:val="single" w:sz="8" w:space="0" w:color="auto"/>
              <w:left w:val="single" w:sz="8" w:space="0" w:color="auto"/>
              <w:bottom w:val="single" w:sz="8" w:space="0" w:color="auto"/>
              <w:right w:val="nil"/>
            </w:tcBorders>
            <w:shd w:val="clear" w:color="000000" w:fill="FFFFFF"/>
            <w:noWrap/>
            <w:vAlign w:val="center"/>
            <w:hideMark/>
          </w:tcPr>
          <w:p w14:paraId="74E685D5" w14:textId="77777777" w:rsidR="006F5386" w:rsidRPr="006F5386" w:rsidRDefault="006F5386" w:rsidP="00E73F0F">
            <w:pPr>
              <w:jc w:val="center"/>
              <w:rPr>
                <w:rFonts w:ascii="Arial" w:hAnsi="Arial" w:cs="Arial"/>
                <w:color w:val="000000"/>
              </w:rPr>
            </w:pPr>
            <w:r w:rsidRPr="006F5386">
              <w:rPr>
                <w:rFonts w:ascii="Arial" w:hAnsi="Arial" w:cs="Arial"/>
                <w:color w:val="000000"/>
              </w:rPr>
              <w:t>80</w:t>
            </w:r>
          </w:p>
        </w:tc>
        <w:tc>
          <w:tcPr>
            <w:tcW w:w="2420"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AA935FD" w14:textId="77777777" w:rsidR="006F5386" w:rsidRPr="006F5386" w:rsidRDefault="006F5386" w:rsidP="00E73F0F">
            <w:pPr>
              <w:jc w:val="center"/>
              <w:rPr>
                <w:rFonts w:ascii="Arial" w:hAnsi="Arial" w:cs="Arial"/>
                <w:color w:val="000000"/>
              </w:rPr>
            </w:pPr>
            <w:r w:rsidRPr="006F5386">
              <w:rPr>
                <w:rFonts w:ascii="Arial" w:hAnsi="Arial" w:cs="Arial"/>
                <w:color w:val="000000"/>
              </w:rPr>
              <w:t xml:space="preserve">$165 </w:t>
            </w:r>
          </w:p>
        </w:tc>
      </w:tr>
      <w:tr w:rsidR="006F5386" w:rsidRPr="006F5386" w14:paraId="6A464E8C" w14:textId="77777777" w:rsidTr="00E73F0F">
        <w:trPr>
          <w:trHeight w:val="330"/>
          <w:jc w:val="center"/>
        </w:trPr>
        <w:tc>
          <w:tcPr>
            <w:tcW w:w="2180" w:type="dxa"/>
            <w:tcBorders>
              <w:top w:val="single" w:sz="8" w:space="0" w:color="auto"/>
              <w:left w:val="single" w:sz="8" w:space="0" w:color="auto"/>
              <w:bottom w:val="single" w:sz="4" w:space="0" w:color="auto"/>
              <w:right w:val="nil"/>
            </w:tcBorders>
            <w:shd w:val="clear" w:color="000000" w:fill="FFFFFF"/>
            <w:noWrap/>
            <w:vAlign w:val="center"/>
            <w:hideMark/>
          </w:tcPr>
          <w:p w14:paraId="1A68985B" w14:textId="77777777" w:rsidR="006F5386" w:rsidRPr="006F5386" w:rsidRDefault="006F5386" w:rsidP="00E73F0F">
            <w:pPr>
              <w:jc w:val="center"/>
              <w:rPr>
                <w:rFonts w:ascii="Arial" w:hAnsi="Arial" w:cs="Arial"/>
                <w:b/>
                <w:bCs/>
                <w:color w:val="000000"/>
              </w:rPr>
            </w:pPr>
            <w:r w:rsidRPr="006F5386">
              <w:rPr>
                <w:rFonts w:ascii="Arial" w:hAnsi="Arial" w:cs="Arial"/>
                <w:b/>
                <w:bCs/>
                <w:color w:val="000000"/>
              </w:rPr>
              <w:t>5-Year Total</w:t>
            </w:r>
          </w:p>
        </w:tc>
        <w:tc>
          <w:tcPr>
            <w:tcW w:w="1120" w:type="dxa"/>
            <w:tcBorders>
              <w:top w:val="single" w:sz="8" w:space="0" w:color="auto"/>
              <w:left w:val="single" w:sz="8" w:space="0" w:color="auto"/>
              <w:bottom w:val="single" w:sz="4" w:space="0" w:color="auto"/>
              <w:right w:val="nil"/>
            </w:tcBorders>
            <w:shd w:val="clear" w:color="000000" w:fill="FFFFFF"/>
            <w:noWrap/>
            <w:vAlign w:val="center"/>
            <w:hideMark/>
          </w:tcPr>
          <w:p w14:paraId="39A9AA8F" w14:textId="77777777" w:rsidR="006F5386" w:rsidRPr="006F5386" w:rsidRDefault="006F5386" w:rsidP="00E73F0F">
            <w:pPr>
              <w:jc w:val="center"/>
              <w:rPr>
                <w:rFonts w:ascii="Arial" w:hAnsi="Arial" w:cs="Arial"/>
                <w:color w:val="000000"/>
              </w:rPr>
            </w:pPr>
            <w:r w:rsidRPr="006F5386">
              <w:rPr>
                <w:rFonts w:ascii="Arial" w:hAnsi="Arial" w:cs="Arial"/>
                <w:color w:val="000000"/>
              </w:rPr>
              <w:t> </w:t>
            </w:r>
          </w:p>
        </w:tc>
        <w:tc>
          <w:tcPr>
            <w:tcW w:w="2420" w:type="dxa"/>
            <w:gridSpan w:val="2"/>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3D00FF13" w14:textId="77777777" w:rsidR="006F5386" w:rsidRPr="006F5386" w:rsidRDefault="006F5386" w:rsidP="00E73F0F">
            <w:pPr>
              <w:jc w:val="center"/>
              <w:rPr>
                <w:rFonts w:ascii="Arial" w:hAnsi="Arial" w:cs="Arial"/>
                <w:b/>
                <w:bCs/>
                <w:color w:val="000000"/>
              </w:rPr>
            </w:pPr>
            <w:r w:rsidRPr="006F5386">
              <w:rPr>
                <w:rFonts w:ascii="Arial" w:hAnsi="Arial" w:cs="Arial"/>
                <w:b/>
                <w:bCs/>
                <w:color w:val="000000"/>
              </w:rPr>
              <w:t xml:space="preserve">$1,017 </w:t>
            </w:r>
          </w:p>
        </w:tc>
      </w:tr>
    </w:tbl>
    <w:p w14:paraId="2640381D" w14:textId="77777777" w:rsidR="006F5386" w:rsidRPr="006F5386" w:rsidRDefault="006F5386" w:rsidP="006F5386">
      <w:pPr>
        <w:rPr>
          <w:rFonts w:ascii="Arial" w:hAnsi="Arial" w:cs="Arial"/>
          <w:b/>
          <w:u w:val="single"/>
        </w:rPr>
      </w:pPr>
    </w:p>
    <w:p w14:paraId="08B56F8E" w14:textId="77777777" w:rsidR="006F5386" w:rsidRPr="006F5386" w:rsidRDefault="006F5386" w:rsidP="006F5386">
      <w:pPr>
        <w:rPr>
          <w:rFonts w:ascii="Arial" w:hAnsi="Arial" w:cs="Arial"/>
          <w:b/>
          <w:u w:val="single"/>
        </w:rPr>
      </w:pPr>
    </w:p>
    <w:p w14:paraId="338544D9" w14:textId="77777777" w:rsidR="006F5386" w:rsidRPr="006F5386" w:rsidRDefault="006F5386" w:rsidP="006F5386">
      <w:pPr>
        <w:rPr>
          <w:rFonts w:ascii="Arial" w:hAnsi="Arial" w:cs="Arial"/>
          <w:b/>
        </w:rPr>
      </w:pPr>
      <w:r w:rsidRPr="006F5386">
        <w:rPr>
          <w:rFonts w:ascii="Arial" w:hAnsi="Arial" w:cs="Arial"/>
          <w:b/>
        </w:rPr>
        <w:t xml:space="preserve">Assumptions and Methodology of the Analysis: </w:t>
      </w:r>
    </w:p>
    <w:p w14:paraId="1AAEFD65" w14:textId="77777777" w:rsidR="006F5386" w:rsidRPr="006F5386" w:rsidRDefault="006F5386" w:rsidP="006F5386">
      <w:pPr>
        <w:rPr>
          <w:rFonts w:ascii="Arial" w:hAnsi="Arial" w:cs="Arial"/>
        </w:rPr>
      </w:pPr>
    </w:p>
    <w:p w14:paraId="463BC6E2" w14:textId="77777777" w:rsidR="006F5386" w:rsidRPr="006F5386" w:rsidRDefault="006F5386" w:rsidP="006F5386">
      <w:pPr>
        <w:pStyle w:val="ListParagraph"/>
        <w:tabs>
          <w:tab w:val="left" w:pos="630"/>
        </w:tabs>
        <w:ind w:left="0"/>
        <w:rPr>
          <w:rFonts w:ascii="Arial" w:hAnsi="Arial" w:cs="Arial"/>
          <w:sz w:val="24"/>
          <w:szCs w:val="24"/>
        </w:rPr>
      </w:pPr>
      <w:r w:rsidRPr="006F5386">
        <w:rPr>
          <w:rFonts w:ascii="Arial" w:hAnsi="Arial" w:cs="Arial"/>
          <w:sz w:val="24"/>
          <w:szCs w:val="24"/>
          <w:u w:val="single"/>
        </w:rPr>
        <w:t>Benefits Methodology</w:t>
      </w:r>
      <w:r w:rsidRPr="006F5386">
        <w:rPr>
          <w:rFonts w:ascii="Arial" w:hAnsi="Arial" w:cs="Arial"/>
          <w:sz w:val="24"/>
          <w:szCs w:val="24"/>
        </w:rPr>
        <w:t xml:space="preserve"> </w:t>
      </w:r>
    </w:p>
    <w:p w14:paraId="7E49B8F8" w14:textId="77777777" w:rsidR="006F5386" w:rsidRPr="006F5386" w:rsidRDefault="006F5386" w:rsidP="006F5386">
      <w:pPr>
        <w:tabs>
          <w:tab w:val="left" w:pos="630"/>
        </w:tabs>
        <w:rPr>
          <w:rFonts w:ascii="Arial" w:hAnsi="Arial" w:cs="Arial"/>
        </w:rPr>
      </w:pPr>
      <w:r w:rsidRPr="006F5386">
        <w:rPr>
          <w:rFonts w:ascii="Arial" w:hAnsi="Arial" w:cs="Arial"/>
        </w:rPr>
        <w:t xml:space="preserve">VA is establishing presumptive service connection for eight conditions for which there is at least some epidemiological evidence for an association with one or more of the contaminants found in the water supply at Camp Lejeune from August 1953 – December 1987.  The diseases proposed are as follows: kidney cancer, liver cancer, non-Hodgkin’s lymphoma, adult </w:t>
      </w:r>
      <w:proofErr w:type="spellStart"/>
      <w:r w:rsidRPr="006F5386">
        <w:rPr>
          <w:rFonts w:ascii="Arial" w:hAnsi="Arial" w:cs="Arial"/>
        </w:rPr>
        <w:t>leukemias</w:t>
      </w:r>
      <w:proofErr w:type="spellEnd"/>
      <w:r w:rsidRPr="006F5386">
        <w:rPr>
          <w:rFonts w:ascii="Arial" w:hAnsi="Arial" w:cs="Arial"/>
        </w:rPr>
        <w:t>, multiple myeloma, aplastic anemia and other myelodysplastic syndromes, Parkinson’s disease, and bladder cancer. This rulemaking will allow affected reservists and National Guard to establish Veteran status for the presumption of service connection and exposure to contaminated water.</w:t>
      </w:r>
    </w:p>
    <w:p w14:paraId="6D49FF5F" w14:textId="77777777" w:rsidR="006F5386" w:rsidRPr="006F5386" w:rsidRDefault="006F5386" w:rsidP="006F5386">
      <w:pPr>
        <w:tabs>
          <w:tab w:val="left" w:pos="630"/>
        </w:tabs>
        <w:rPr>
          <w:rFonts w:ascii="Arial" w:hAnsi="Arial" w:cs="Arial"/>
        </w:rPr>
      </w:pPr>
    </w:p>
    <w:p w14:paraId="07B327D3" w14:textId="77777777" w:rsidR="00E150A6" w:rsidRDefault="00E150A6" w:rsidP="006F5386">
      <w:pPr>
        <w:tabs>
          <w:tab w:val="num" w:pos="0"/>
          <w:tab w:val="left" w:pos="630"/>
        </w:tabs>
        <w:rPr>
          <w:rFonts w:ascii="Arial" w:hAnsi="Arial" w:cs="Arial"/>
        </w:rPr>
      </w:pPr>
    </w:p>
    <w:p w14:paraId="7F0B7E66" w14:textId="77777777" w:rsidR="00E150A6" w:rsidRDefault="00E150A6" w:rsidP="006F5386">
      <w:pPr>
        <w:tabs>
          <w:tab w:val="num" w:pos="0"/>
          <w:tab w:val="left" w:pos="630"/>
        </w:tabs>
        <w:rPr>
          <w:rFonts w:ascii="Arial" w:hAnsi="Arial" w:cs="Arial"/>
        </w:rPr>
      </w:pPr>
    </w:p>
    <w:p w14:paraId="4AD6D453" w14:textId="77777777" w:rsidR="006F5386" w:rsidRPr="006F5386" w:rsidRDefault="006F5386" w:rsidP="006F5386">
      <w:pPr>
        <w:tabs>
          <w:tab w:val="num" w:pos="0"/>
          <w:tab w:val="left" w:pos="630"/>
        </w:tabs>
        <w:rPr>
          <w:rFonts w:ascii="Arial" w:hAnsi="Arial" w:cs="Arial"/>
        </w:rPr>
      </w:pPr>
      <w:r w:rsidRPr="006F5386">
        <w:rPr>
          <w:rFonts w:ascii="Arial" w:hAnsi="Arial" w:cs="Arial"/>
        </w:rPr>
        <w:lastRenderedPageBreak/>
        <w:t>The chart above summarizes combined Veteran, reservist, and survivor caseload and costs.  The sections and charts below describe the methodology and resulting caseload and costs separately for Veterans/reservists and survivors.  For purposes of this cost estimate, VA assumes an October 1, 2017 effective date.</w:t>
      </w:r>
    </w:p>
    <w:p w14:paraId="2E9C54E3" w14:textId="77777777" w:rsidR="006F5386" w:rsidRPr="006F5386" w:rsidRDefault="006F5386" w:rsidP="006F5386">
      <w:pPr>
        <w:pStyle w:val="ListParagraph"/>
        <w:tabs>
          <w:tab w:val="left" w:pos="630"/>
        </w:tabs>
        <w:ind w:left="360"/>
        <w:rPr>
          <w:rFonts w:ascii="Arial" w:hAnsi="Arial" w:cs="Arial"/>
          <w:sz w:val="24"/>
          <w:szCs w:val="24"/>
        </w:rPr>
      </w:pPr>
    </w:p>
    <w:p w14:paraId="3E714F0C" w14:textId="77777777" w:rsidR="006F5386" w:rsidRPr="006F5386" w:rsidRDefault="006F5386" w:rsidP="006F5386">
      <w:pPr>
        <w:pStyle w:val="ListParagraph"/>
        <w:tabs>
          <w:tab w:val="left" w:pos="630"/>
        </w:tabs>
        <w:ind w:left="360"/>
        <w:rPr>
          <w:rFonts w:ascii="Arial" w:hAnsi="Arial" w:cs="Arial"/>
          <w:sz w:val="24"/>
          <w:szCs w:val="24"/>
        </w:rPr>
      </w:pPr>
    </w:p>
    <w:p w14:paraId="1BF25D3F" w14:textId="77777777" w:rsidR="006F5386" w:rsidRPr="006F5386" w:rsidRDefault="006F5386" w:rsidP="006F5386">
      <w:pPr>
        <w:pStyle w:val="ListParagraph"/>
        <w:tabs>
          <w:tab w:val="left" w:pos="630"/>
        </w:tabs>
        <w:ind w:left="0"/>
        <w:rPr>
          <w:rFonts w:ascii="Arial" w:hAnsi="Arial" w:cs="Arial"/>
          <w:sz w:val="24"/>
          <w:szCs w:val="24"/>
          <w:u w:val="single"/>
        </w:rPr>
      </w:pPr>
      <w:r w:rsidRPr="006F5386">
        <w:rPr>
          <w:rFonts w:ascii="Arial" w:hAnsi="Arial" w:cs="Arial"/>
          <w:sz w:val="24"/>
          <w:szCs w:val="24"/>
          <w:u w:val="single"/>
        </w:rPr>
        <w:t>Veteran/Reservist Caseload</w:t>
      </w:r>
    </w:p>
    <w:p w14:paraId="3BF00437" w14:textId="77777777" w:rsidR="006F5386" w:rsidRPr="006F5386" w:rsidRDefault="006F5386" w:rsidP="006F5386">
      <w:pPr>
        <w:pStyle w:val="ListParagraph"/>
        <w:tabs>
          <w:tab w:val="left" w:pos="630"/>
        </w:tabs>
        <w:ind w:left="0"/>
        <w:rPr>
          <w:rFonts w:ascii="Arial" w:hAnsi="Arial" w:cs="Arial"/>
          <w:sz w:val="24"/>
          <w:szCs w:val="24"/>
        </w:rPr>
      </w:pPr>
      <w:r w:rsidRPr="006F5386">
        <w:rPr>
          <w:rFonts w:ascii="Arial" w:hAnsi="Arial" w:cs="Arial"/>
          <w:sz w:val="24"/>
          <w:szCs w:val="24"/>
        </w:rPr>
        <w:t>The Department of Defense (</w:t>
      </w:r>
      <w:proofErr w:type="gramStart"/>
      <w:r w:rsidRPr="006F5386">
        <w:rPr>
          <w:rFonts w:ascii="Arial" w:hAnsi="Arial" w:cs="Arial"/>
          <w:sz w:val="24"/>
          <w:szCs w:val="24"/>
        </w:rPr>
        <w:t>DoD</w:t>
      </w:r>
      <w:proofErr w:type="gramEnd"/>
      <w:r w:rsidRPr="006F5386">
        <w:rPr>
          <w:rFonts w:ascii="Arial" w:hAnsi="Arial" w:cs="Arial"/>
          <w:sz w:val="24"/>
          <w:szCs w:val="24"/>
        </w:rPr>
        <w:t xml:space="preserve">) estimates that approximately 720,000 Veterans and 142,468 reservists served at Camp Lejeune during the period of water contamination.  Although VA proposes to limit the presumption of exposure and service connection to individuals who served at least 30 days at Camp Lejeune (consecutively or nonconsecutively), VA assumes that the number of individuals excluded by this 30-day requirement is insignificant for purposes of this cost estimate.  In that regard, the nature of basic, advanced, and other training at Camp Lejeune is such that most individuals who passed through on official orders likely stayed for at least 30 days.  </w:t>
      </w:r>
    </w:p>
    <w:p w14:paraId="01DE9304" w14:textId="77777777" w:rsidR="006F5386" w:rsidRPr="006F5386" w:rsidRDefault="006F5386" w:rsidP="006F5386">
      <w:pPr>
        <w:pStyle w:val="ListParagraph"/>
        <w:tabs>
          <w:tab w:val="left" w:pos="630"/>
        </w:tabs>
        <w:ind w:left="0"/>
        <w:rPr>
          <w:rFonts w:ascii="Arial" w:hAnsi="Arial" w:cs="Arial"/>
          <w:sz w:val="24"/>
          <w:szCs w:val="24"/>
        </w:rPr>
      </w:pPr>
    </w:p>
    <w:p w14:paraId="52BABC8B" w14:textId="77777777" w:rsidR="006F5386" w:rsidRPr="006F5386" w:rsidRDefault="006F5386" w:rsidP="006F5386">
      <w:pPr>
        <w:pStyle w:val="ListParagraph"/>
        <w:tabs>
          <w:tab w:val="left" w:pos="630"/>
        </w:tabs>
        <w:ind w:left="0"/>
        <w:rPr>
          <w:rFonts w:ascii="Arial" w:hAnsi="Arial" w:cs="Arial"/>
          <w:sz w:val="24"/>
          <w:szCs w:val="24"/>
        </w:rPr>
      </w:pPr>
      <w:r w:rsidRPr="006F5386">
        <w:rPr>
          <w:rFonts w:ascii="Arial" w:hAnsi="Arial" w:cs="Arial"/>
          <w:sz w:val="24"/>
          <w:szCs w:val="24"/>
        </w:rPr>
        <w:t xml:space="preserve">To estimate the number of these Veterans and reservists that are living, this population was distributed by age (18 to 37) and year exposed (1953 to 1987).  The resulting distribution of Veterans and reservists was then aged using general mortality by age rates from the Social Security Administration (SSA) to determine that an estimated 404,336 Veterans and 80,007 reservists ranging from ages 49 to 102 will be living, and 315,664 Veterans and 62,461 reservists will have deceased by the beginning of 2018.  </w:t>
      </w:r>
    </w:p>
    <w:p w14:paraId="60E01443" w14:textId="77777777" w:rsidR="006F5386" w:rsidRPr="006F5386" w:rsidRDefault="006F5386" w:rsidP="006F5386">
      <w:pPr>
        <w:pStyle w:val="ListParagraph"/>
        <w:tabs>
          <w:tab w:val="left" w:pos="630"/>
        </w:tabs>
        <w:ind w:left="0"/>
        <w:rPr>
          <w:rFonts w:ascii="Arial" w:hAnsi="Arial" w:cs="Arial"/>
          <w:sz w:val="24"/>
          <w:szCs w:val="24"/>
        </w:rPr>
      </w:pPr>
    </w:p>
    <w:p w14:paraId="0F76312C" w14:textId="015D642D" w:rsidR="006F5386" w:rsidRPr="006F5386" w:rsidRDefault="006F5386" w:rsidP="006F5386">
      <w:pPr>
        <w:pStyle w:val="ListParagraph"/>
        <w:tabs>
          <w:tab w:val="left" w:pos="630"/>
        </w:tabs>
        <w:ind w:left="0"/>
        <w:rPr>
          <w:rFonts w:ascii="Arial" w:hAnsi="Arial" w:cs="Arial"/>
          <w:sz w:val="24"/>
          <w:szCs w:val="24"/>
        </w:rPr>
      </w:pPr>
      <w:r w:rsidRPr="006F5386">
        <w:rPr>
          <w:rFonts w:ascii="Arial" w:hAnsi="Arial" w:cs="Arial"/>
          <w:sz w:val="24"/>
          <w:szCs w:val="24"/>
        </w:rPr>
        <w:t xml:space="preserve">To estimate the number of Veterans living with each of these conditions as of the beginning of 2018, prevalence data from a variety of sources was utilized.  The sources include the National Cancer Institute, American Cancer Society, Centers for Disease Control and Prevention, Census Bureau, Leukemia and Lymphoma Society, and </w:t>
      </w:r>
      <w:proofErr w:type="gramStart"/>
      <w:r w:rsidRPr="006F5386">
        <w:rPr>
          <w:rFonts w:ascii="Arial" w:hAnsi="Arial" w:cs="Arial"/>
          <w:sz w:val="24"/>
          <w:szCs w:val="24"/>
        </w:rPr>
        <w:t>Parkinson’s Disease</w:t>
      </w:r>
      <w:proofErr w:type="gramEnd"/>
      <w:r w:rsidRPr="006F5386">
        <w:rPr>
          <w:rFonts w:ascii="Arial" w:hAnsi="Arial" w:cs="Arial"/>
          <w:sz w:val="24"/>
          <w:szCs w:val="24"/>
        </w:rPr>
        <w:t xml:space="preserve"> Foundation.  Further, where available, age-specific prevalence for persons age 45 and older was utilized.  In addition, gender-specific prevalence for bladder cancer was used to calculate the caseload, due to a significantly higher prevalence of this condition among males.  For purposes of calculating bladder cancer caseload using gender-specific prevalence, VBA assumes that 93.2 percent of Veterans serving at Camp Lejeune were male, based on recent Marine data.  </w:t>
      </w:r>
      <w:r w:rsidR="00965F0E">
        <w:rPr>
          <w:rFonts w:ascii="Arial" w:hAnsi="Arial" w:cs="Arial"/>
          <w:sz w:val="24"/>
          <w:szCs w:val="24"/>
        </w:rPr>
        <w:t xml:space="preserve">As VA develops more program data and becomes more cognizant of the actual use of healthcare benefits for Camp Lejeune veterans, VA will make appropriate adjustments in the final rule analysis.  </w:t>
      </w:r>
      <w:r w:rsidRPr="006F5386">
        <w:rPr>
          <w:rFonts w:ascii="Arial" w:hAnsi="Arial" w:cs="Arial"/>
          <w:sz w:val="24"/>
          <w:szCs w:val="24"/>
        </w:rPr>
        <w:t xml:space="preserve">VA </w:t>
      </w:r>
      <w:r w:rsidR="00965F0E">
        <w:rPr>
          <w:rFonts w:ascii="Arial" w:hAnsi="Arial" w:cs="Arial"/>
          <w:sz w:val="24"/>
          <w:szCs w:val="24"/>
        </w:rPr>
        <w:t xml:space="preserve">also welcomes public </w:t>
      </w:r>
      <w:r w:rsidRPr="006F5386">
        <w:rPr>
          <w:rFonts w:ascii="Arial" w:hAnsi="Arial" w:cs="Arial"/>
          <w:sz w:val="24"/>
          <w:szCs w:val="24"/>
        </w:rPr>
        <w:t>comment</w:t>
      </w:r>
      <w:r w:rsidR="00965F0E">
        <w:rPr>
          <w:rFonts w:ascii="Arial" w:hAnsi="Arial" w:cs="Arial"/>
          <w:sz w:val="24"/>
          <w:szCs w:val="24"/>
        </w:rPr>
        <w:t>s</w:t>
      </w:r>
      <w:r w:rsidRPr="006F5386">
        <w:rPr>
          <w:rFonts w:ascii="Arial" w:hAnsi="Arial" w:cs="Arial"/>
          <w:sz w:val="24"/>
          <w:szCs w:val="24"/>
        </w:rPr>
        <w:t xml:space="preserve"> on these assumptions.</w:t>
      </w:r>
    </w:p>
    <w:p w14:paraId="4697B1DF" w14:textId="45CCFAB3" w:rsidR="006F5386" w:rsidRPr="006F5386" w:rsidRDefault="006F5386" w:rsidP="006F5386">
      <w:pPr>
        <w:pStyle w:val="ListParagraph"/>
        <w:tabs>
          <w:tab w:val="left" w:pos="630"/>
        </w:tabs>
        <w:ind w:left="0"/>
        <w:rPr>
          <w:rFonts w:ascii="Arial" w:hAnsi="Arial" w:cs="Arial"/>
          <w:sz w:val="24"/>
          <w:szCs w:val="24"/>
        </w:rPr>
      </w:pPr>
      <w:r w:rsidRPr="006F5386">
        <w:rPr>
          <w:rFonts w:ascii="Arial" w:hAnsi="Arial" w:cs="Arial"/>
          <w:sz w:val="24"/>
          <w:szCs w:val="24"/>
        </w:rPr>
        <w:t>To estimate annual accessions to the Veteran compensation rolls (i.e. Veterans and reservists that do not have these conditions at the beginning of 2018 but are diagnosed and begin receiving benefits thereafter), incidence data for each condition from the sources listed above was utilized.  Similarly, age and gender-specific incidence data was used for certain conditions.  The incidence rates were applied to the Camp Lejeune living Veteran and reservist caseload projected out to 2022 to calculate new accessions each year.  Condition-specific mortality rates were applied to the caseloads to calculate the number of Veteran and reservist deaths resulting from each condition.  Mortality assumptions for most conditions were based on the 5 year survival rates provided from the sources listed above.  For conditions where the mortality rate associated with the condition was lower than the general population at the age of 70 (i.e. Parkinson’s disease), the age 70 general population mortality rate was used.</w:t>
      </w:r>
    </w:p>
    <w:p w14:paraId="448F8CD5" w14:textId="77777777" w:rsidR="006F5386" w:rsidRPr="006F5386" w:rsidRDefault="006F5386" w:rsidP="006F5386">
      <w:pPr>
        <w:pStyle w:val="ListParagraph"/>
        <w:tabs>
          <w:tab w:val="left" w:pos="630"/>
        </w:tabs>
        <w:ind w:left="0"/>
        <w:rPr>
          <w:rFonts w:ascii="Arial" w:hAnsi="Arial" w:cs="Arial"/>
          <w:sz w:val="24"/>
          <w:szCs w:val="24"/>
        </w:rPr>
      </w:pPr>
    </w:p>
    <w:p w14:paraId="521A9288" w14:textId="77777777" w:rsidR="006F5386" w:rsidRPr="006F5386" w:rsidRDefault="006F5386" w:rsidP="006F5386">
      <w:pPr>
        <w:pStyle w:val="ListParagraph"/>
        <w:tabs>
          <w:tab w:val="left" w:pos="630"/>
        </w:tabs>
        <w:ind w:left="0"/>
        <w:rPr>
          <w:rFonts w:ascii="Arial" w:hAnsi="Arial" w:cs="Arial"/>
          <w:sz w:val="24"/>
          <w:szCs w:val="24"/>
        </w:rPr>
      </w:pPr>
      <w:r w:rsidRPr="006F5386">
        <w:rPr>
          <w:rFonts w:ascii="Arial" w:hAnsi="Arial" w:cs="Arial"/>
          <w:sz w:val="24"/>
          <w:szCs w:val="24"/>
        </w:rPr>
        <w:lastRenderedPageBreak/>
        <w:t xml:space="preserve">Based on the prevalence, incidence, and mortality assumptions utilized for each condition, 11,843 Veterans and 2,342 reservists are estimated to have one of these conditions and receive compensation in 2018.  Parkinson’s disease is estimated to be the most prevalent condition (4,160 Veterans/Reservists), with the next most prevalent conditions being bladder cancer (3,691) and non-Hodgkin’s lymphoma (1,950) </w:t>
      </w:r>
    </w:p>
    <w:p w14:paraId="60744C5D" w14:textId="77777777" w:rsidR="006F5386" w:rsidRPr="006F5386" w:rsidRDefault="006F5386" w:rsidP="006F5386">
      <w:pPr>
        <w:pStyle w:val="ListParagraph"/>
        <w:tabs>
          <w:tab w:val="left" w:pos="630"/>
        </w:tabs>
        <w:ind w:left="0"/>
        <w:rPr>
          <w:rFonts w:ascii="Arial" w:hAnsi="Arial" w:cs="Arial"/>
          <w:sz w:val="24"/>
          <w:szCs w:val="24"/>
          <w:u w:val="single"/>
        </w:rPr>
      </w:pPr>
    </w:p>
    <w:p w14:paraId="4C2D1C30" w14:textId="77777777" w:rsidR="006F5386" w:rsidRDefault="006F5386" w:rsidP="006F5386">
      <w:pPr>
        <w:pStyle w:val="ListParagraph"/>
        <w:tabs>
          <w:tab w:val="left" w:pos="630"/>
        </w:tabs>
        <w:ind w:left="0"/>
        <w:rPr>
          <w:rFonts w:ascii="Arial" w:hAnsi="Arial" w:cs="Arial"/>
          <w:sz w:val="24"/>
          <w:szCs w:val="24"/>
          <w:u w:val="single"/>
        </w:rPr>
      </w:pPr>
    </w:p>
    <w:p w14:paraId="799F2870" w14:textId="77777777" w:rsidR="006F5386" w:rsidRPr="006F5386" w:rsidRDefault="006F5386" w:rsidP="006F5386">
      <w:pPr>
        <w:pStyle w:val="ListParagraph"/>
        <w:tabs>
          <w:tab w:val="left" w:pos="630"/>
        </w:tabs>
        <w:ind w:left="0"/>
        <w:rPr>
          <w:rFonts w:ascii="Arial" w:hAnsi="Arial" w:cs="Arial"/>
          <w:sz w:val="24"/>
          <w:szCs w:val="24"/>
          <w:u w:val="single"/>
        </w:rPr>
      </w:pPr>
      <w:r w:rsidRPr="006F5386">
        <w:rPr>
          <w:rFonts w:ascii="Arial" w:hAnsi="Arial" w:cs="Arial"/>
          <w:sz w:val="24"/>
          <w:szCs w:val="24"/>
          <w:u w:val="single"/>
        </w:rPr>
        <w:t>Veteran Costs</w:t>
      </w:r>
    </w:p>
    <w:p w14:paraId="69DF4A12" w14:textId="77777777" w:rsidR="006F5386" w:rsidRPr="006F5386" w:rsidRDefault="006F5386" w:rsidP="006F5386">
      <w:pPr>
        <w:pStyle w:val="ListParagraph"/>
        <w:tabs>
          <w:tab w:val="left" w:pos="630"/>
        </w:tabs>
        <w:ind w:left="0"/>
        <w:rPr>
          <w:rFonts w:ascii="Arial" w:hAnsi="Arial" w:cs="Arial"/>
          <w:sz w:val="24"/>
          <w:szCs w:val="24"/>
        </w:rPr>
      </w:pPr>
      <w:r w:rsidRPr="006F5386">
        <w:rPr>
          <w:rFonts w:ascii="Arial" w:hAnsi="Arial" w:cs="Arial"/>
          <w:sz w:val="24"/>
          <w:szCs w:val="24"/>
        </w:rPr>
        <w:t>The projected Veteran compensation caseload for each condition was distributed by degree of disability, based on the distribution of Veterans currently on the rolls for the respective condition.  The caseload was then broken into two groups: Veterans new to the rolls and Veterans already on the rolls.  Based on data provided by VBA’s Office of Performance, Analysis, and Integrity, 47.4 percent of living Vietnam Veterans are on the compensation rolls.  This percentage was applied to the Veteran caseload to calculate how many Veterans (with each condition and by degree of disability) are currently receiving compensation.  The remaining 52.6 percent of Veterans are assumed to be new to the compensation rolls.</w:t>
      </w:r>
    </w:p>
    <w:p w14:paraId="36297845" w14:textId="77777777" w:rsidR="006F5386" w:rsidRPr="006F5386" w:rsidRDefault="006F5386" w:rsidP="006F5386">
      <w:pPr>
        <w:pStyle w:val="ListParagraph"/>
        <w:tabs>
          <w:tab w:val="left" w:pos="630"/>
        </w:tabs>
        <w:ind w:left="0"/>
        <w:rPr>
          <w:rFonts w:ascii="Arial" w:hAnsi="Arial" w:cs="Arial"/>
          <w:sz w:val="24"/>
          <w:szCs w:val="24"/>
        </w:rPr>
      </w:pPr>
    </w:p>
    <w:p w14:paraId="6FF7BFD6" w14:textId="77777777" w:rsidR="006F5386" w:rsidRPr="006F5386" w:rsidRDefault="006F5386" w:rsidP="006F5386">
      <w:pPr>
        <w:pStyle w:val="ListParagraph"/>
        <w:tabs>
          <w:tab w:val="left" w:pos="630"/>
        </w:tabs>
        <w:ind w:left="0"/>
        <w:rPr>
          <w:rFonts w:ascii="Arial" w:hAnsi="Arial" w:cs="Arial"/>
          <w:sz w:val="24"/>
          <w:szCs w:val="24"/>
        </w:rPr>
      </w:pPr>
      <w:r w:rsidRPr="006F5386">
        <w:rPr>
          <w:rFonts w:ascii="Arial" w:hAnsi="Arial" w:cs="Arial"/>
          <w:sz w:val="24"/>
          <w:szCs w:val="24"/>
        </w:rPr>
        <w:t xml:space="preserve">The 47.4 percent of Veterans already on the compensation rolls for other conditions are assumed to have an average current rating of 50 percent, which is based on the overall average degree of disability for Veterans on the compensation rolls.  For these Veterans, a combined degree of disability was calculated based on the current 50 percent rating with an additional rating for one of the new Camp Lejeune conditions.  The resulting combined rating varies from remaining at 50 percent (if the Veteran receives a 0 percent rating for the Camp Lejeune condition), to an increase to 100 percent (if the Veteran receives a 90 or 100 percent rating for the Camp Lejeune condition).  The corresponding increase in average payments between degrees of disability, based on the 2017 Mid-Session Review (MSR) Budget, were applied to the caseload to calculate the increase in obligations.  </w:t>
      </w:r>
    </w:p>
    <w:p w14:paraId="0E876D9B" w14:textId="77777777" w:rsidR="006F5386" w:rsidRPr="006F5386" w:rsidRDefault="006F5386" w:rsidP="006F5386">
      <w:pPr>
        <w:pStyle w:val="ListParagraph"/>
        <w:tabs>
          <w:tab w:val="left" w:pos="630"/>
        </w:tabs>
        <w:ind w:left="0"/>
        <w:rPr>
          <w:rFonts w:ascii="Arial" w:hAnsi="Arial" w:cs="Arial"/>
          <w:sz w:val="24"/>
          <w:szCs w:val="24"/>
        </w:rPr>
      </w:pPr>
    </w:p>
    <w:p w14:paraId="7C848655" w14:textId="77777777" w:rsidR="006F5386" w:rsidRPr="006F5386" w:rsidRDefault="006F5386" w:rsidP="006F5386">
      <w:pPr>
        <w:pStyle w:val="ListParagraph"/>
        <w:tabs>
          <w:tab w:val="left" w:pos="630"/>
        </w:tabs>
        <w:ind w:left="0"/>
        <w:rPr>
          <w:rFonts w:ascii="Arial" w:hAnsi="Arial" w:cs="Arial"/>
          <w:sz w:val="24"/>
          <w:szCs w:val="24"/>
        </w:rPr>
      </w:pPr>
      <w:r w:rsidRPr="006F5386">
        <w:rPr>
          <w:rFonts w:ascii="Arial" w:hAnsi="Arial" w:cs="Arial"/>
          <w:sz w:val="24"/>
          <w:szCs w:val="24"/>
        </w:rPr>
        <w:t>To calculate costs for the 52.6 percent of Veterans estimated to be new to the compensation rolls, the average payments at each degree of disability from the 2017 MSR Budget were applied to the caseload.  COLA’s from the 2017 MSR Budget were applied to estimate average costs in the out-years.  Total Veteran caseload and costs associated with the Camp Lejeune presumptive conditions are shown in the table below.</w:t>
      </w:r>
    </w:p>
    <w:p w14:paraId="03225F79" w14:textId="77777777" w:rsidR="006F5386" w:rsidRPr="006F5386" w:rsidRDefault="006F5386" w:rsidP="006F5386">
      <w:pPr>
        <w:pStyle w:val="ListParagraph"/>
        <w:tabs>
          <w:tab w:val="left" w:pos="630"/>
        </w:tabs>
        <w:ind w:left="0"/>
        <w:rPr>
          <w:rFonts w:ascii="Arial" w:hAnsi="Arial" w:cs="Arial"/>
          <w:sz w:val="24"/>
          <w:szCs w:val="24"/>
        </w:rPr>
      </w:pPr>
    </w:p>
    <w:tbl>
      <w:tblPr>
        <w:tblW w:w="4475" w:type="dxa"/>
        <w:jc w:val="center"/>
        <w:tblLook w:val="04A0" w:firstRow="1" w:lastRow="0" w:firstColumn="1" w:lastColumn="0" w:noHBand="0" w:noVBand="1"/>
      </w:tblPr>
      <w:tblGrid>
        <w:gridCol w:w="1728"/>
        <w:gridCol w:w="1231"/>
        <w:gridCol w:w="1431"/>
        <w:gridCol w:w="85"/>
      </w:tblGrid>
      <w:tr w:rsidR="006F5386" w:rsidRPr="006F5386" w14:paraId="3DF20450" w14:textId="77777777" w:rsidTr="00E73F0F">
        <w:trPr>
          <w:gridAfter w:val="1"/>
          <w:wAfter w:w="85" w:type="dxa"/>
          <w:trHeight w:val="315"/>
          <w:jc w:val="center"/>
        </w:trPr>
        <w:tc>
          <w:tcPr>
            <w:tcW w:w="439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B54A58" w14:textId="77777777" w:rsidR="006F5386" w:rsidRPr="006F5386" w:rsidRDefault="006F5386" w:rsidP="00E73F0F">
            <w:pPr>
              <w:jc w:val="center"/>
              <w:rPr>
                <w:rFonts w:ascii="Arial" w:hAnsi="Arial" w:cs="Arial"/>
                <w:color w:val="000000"/>
              </w:rPr>
            </w:pPr>
            <w:r w:rsidRPr="006F5386">
              <w:rPr>
                <w:rFonts w:ascii="Arial" w:hAnsi="Arial" w:cs="Arial"/>
                <w:color w:val="000000"/>
              </w:rPr>
              <w:t>Veterans</w:t>
            </w:r>
          </w:p>
        </w:tc>
      </w:tr>
      <w:tr w:rsidR="006F5386" w:rsidRPr="006F5386" w14:paraId="3E0D63C1" w14:textId="77777777" w:rsidTr="00E73F0F">
        <w:trPr>
          <w:trHeight w:val="58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89C4297"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FY</w:t>
            </w:r>
          </w:p>
        </w:tc>
        <w:tc>
          <w:tcPr>
            <w:tcW w:w="1231" w:type="dxa"/>
            <w:tcBorders>
              <w:top w:val="nil"/>
              <w:left w:val="nil"/>
              <w:bottom w:val="single" w:sz="8" w:space="0" w:color="auto"/>
              <w:right w:val="single" w:sz="8" w:space="0" w:color="auto"/>
            </w:tcBorders>
            <w:shd w:val="clear" w:color="auto" w:fill="auto"/>
            <w:noWrap/>
            <w:vAlign w:val="center"/>
            <w:hideMark/>
          </w:tcPr>
          <w:p w14:paraId="6DB33FF1"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Caseload</w:t>
            </w:r>
          </w:p>
        </w:tc>
        <w:tc>
          <w:tcPr>
            <w:tcW w:w="1516" w:type="dxa"/>
            <w:gridSpan w:val="2"/>
            <w:tcBorders>
              <w:top w:val="nil"/>
              <w:left w:val="nil"/>
              <w:bottom w:val="single" w:sz="8" w:space="0" w:color="auto"/>
              <w:right w:val="single" w:sz="8" w:space="0" w:color="auto"/>
            </w:tcBorders>
            <w:shd w:val="clear" w:color="auto" w:fill="auto"/>
            <w:vAlign w:val="center"/>
            <w:hideMark/>
          </w:tcPr>
          <w:p w14:paraId="10A8FD62"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Obligations</w:t>
            </w:r>
            <w:r w:rsidRPr="006F5386">
              <w:rPr>
                <w:rFonts w:ascii="Arial" w:hAnsi="Arial" w:cs="Arial"/>
                <w:color w:val="000000"/>
              </w:rPr>
              <w:br/>
              <w:t>(in 000's)</w:t>
            </w:r>
          </w:p>
        </w:tc>
      </w:tr>
      <w:tr w:rsidR="006F5386" w:rsidRPr="006F5386" w14:paraId="3DD54FA1" w14:textId="77777777" w:rsidTr="00E73F0F">
        <w:trPr>
          <w:trHeight w:val="31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22B8C413"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2018</w:t>
            </w:r>
          </w:p>
        </w:tc>
        <w:tc>
          <w:tcPr>
            <w:tcW w:w="1231" w:type="dxa"/>
            <w:tcBorders>
              <w:top w:val="nil"/>
              <w:left w:val="nil"/>
              <w:bottom w:val="single" w:sz="8" w:space="0" w:color="auto"/>
              <w:right w:val="single" w:sz="8" w:space="0" w:color="auto"/>
            </w:tcBorders>
            <w:shd w:val="clear" w:color="auto" w:fill="auto"/>
            <w:noWrap/>
            <w:vAlign w:val="center"/>
            <w:hideMark/>
          </w:tcPr>
          <w:p w14:paraId="2546C207"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11,843</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268E5811" w14:textId="77777777" w:rsidR="006F5386" w:rsidRPr="006F5386" w:rsidRDefault="006F5386" w:rsidP="00E73F0F">
            <w:pPr>
              <w:ind w:firstLine="8"/>
              <w:jc w:val="right"/>
              <w:rPr>
                <w:rFonts w:ascii="Arial" w:hAnsi="Arial" w:cs="Arial"/>
                <w:color w:val="000000"/>
              </w:rPr>
            </w:pPr>
            <w:r w:rsidRPr="006F5386">
              <w:rPr>
                <w:rFonts w:ascii="Arial" w:hAnsi="Arial" w:cs="Arial"/>
                <w:color w:val="000000"/>
              </w:rPr>
              <w:t xml:space="preserve">$232,614 </w:t>
            </w:r>
          </w:p>
        </w:tc>
      </w:tr>
      <w:tr w:rsidR="006F5386" w:rsidRPr="006F5386" w14:paraId="1E38251E" w14:textId="77777777" w:rsidTr="00E73F0F">
        <w:trPr>
          <w:trHeight w:val="31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3B5CA9F5"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2019</w:t>
            </w:r>
          </w:p>
        </w:tc>
        <w:tc>
          <w:tcPr>
            <w:tcW w:w="1231" w:type="dxa"/>
            <w:tcBorders>
              <w:top w:val="nil"/>
              <w:left w:val="nil"/>
              <w:bottom w:val="single" w:sz="8" w:space="0" w:color="auto"/>
              <w:right w:val="single" w:sz="8" w:space="0" w:color="auto"/>
            </w:tcBorders>
            <w:shd w:val="clear" w:color="auto" w:fill="auto"/>
            <w:noWrap/>
            <w:vAlign w:val="center"/>
            <w:hideMark/>
          </w:tcPr>
          <w:p w14:paraId="6CF0E701"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12,552</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70DB0ABF" w14:textId="77777777" w:rsidR="006F5386" w:rsidRPr="006F5386" w:rsidRDefault="006F5386" w:rsidP="00E73F0F">
            <w:pPr>
              <w:ind w:firstLine="8"/>
              <w:jc w:val="right"/>
              <w:rPr>
                <w:rFonts w:ascii="Arial" w:hAnsi="Arial" w:cs="Arial"/>
                <w:color w:val="000000"/>
              </w:rPr>
            </w:pPr>
            <w:r w:rsidRPr="006F5386">
              <w:rPr>
                <w:rFonts w:ascii="Arial" w:hAnsi="Arial" w:cs="Arial"/>
                <w:color w:val="000000"/>
              </w:rPr>
              <w:t xml:space="preserve">$252,379 </w:t>
            </w:r>
          </w:p>
        </w:tc>
      </w:tr>
      <w:tr w:rsidR="006F5386" w:rsidRPr="006F5386" w14:paraId="4197FBB3" w14:textId="77777777" w:rsidTr="00E73F0F">
        <w:trPr>
          <w:trHeight w:val="31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AF4C0BE"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2020</w:t>
            </w:r>
          </w:p>
        </w:tc>
        <w:tc>
          <w:tcPr>
            <w:tcW w:w="1231" w:type="dxa"/>
            <w:tcBorders>
              <w:top w:val="nil"/>
              <w:left w:val="nil"/>
              <w:bottom w:val="single" w:sz="8" w:space="0" w:color="auto"/>
              <w:right w:val="single" w:sz="8" w:space="0" w:color="auto"/>
            </w:tcBorders>
            <w:shd w:val="clear" w:color="auto" w:fill="auto"/>
            <w:noWrap/>
            <w:vAlign w:val="center"/>
            <w:hideMark/>
          </w:tcPr>
          <w:p w14:paraId="4A9338DA"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13,161</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0CF8D88B" w14:textId="77777777" w:rsidR="006F5386" w:rsidRPr="006F5386" w:rsidRDefault="006F5386" w:rsidP="00E73F0F">
            <w:pPr>
              <w:ind w:firstLine="8"/>
              <w:jc w:val="right"/>
              <w:rPr>
                <w:rFonts w:ascii="Arial" w:hAnsi="Arial" w:cs="Arial"/>
                <w:color w:val="000000"/>
              </w:rPr>
            </w:pPr>
            <w:r w:rsidRPr="006F5386">
              <w:rPr>
                <w:rFonts w:ascii="Arial" w:hAnsi="Arial" w:cs="Arial"/>
                <w:color w:val="000000"/>
              </w:rPr>
              <w:t xml:space="preserve">$271,245 </w:t>
            </w:r>
          </w:p>
        </w:tc>
      </w:tr>
      <w:tr w:rsidR="006F5386" w:rsidRPr="006F5386" w14:paraId="2F3983F4" w14:textId="77777777" w:rsidTr="00E73F0F">
        <w:trPr>
          <w:trHeight w:val="31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E9FEC7F"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2021</w:t>
            </w:r>
          </w:p>
        </w:tc>
        <w:tc>
          <w:tcPr>
            <w:tcW w:w="1231" w:type="dxa"/>
            <w:tcBorders>
              <w:top w:val="nil"/>
              <w:left w:val="nil"/>
              <w:bottom w:val="single" w:sz="8" w:space="0" w:color="auto"/>
              <w:right w:val="single" w:sz="8" w:space="0" w:color="auto"/>
            </w:tcBorders>
            <w:shd w:val="clear" w:color="auto" w:fill="auto"/>
            <w:noWrap/>
            <w:vAlign w:val="center"/>
            <w:hideMark/>
          </w:tcPr>
          <w:p w14:paraId="5840C89C"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13,682</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485CE7E8" w14:textId="77777777" w:rsidR="006F5386" w:rsidRPr="006F5386" w:rsidRDefault="006F5386" w:rsidP="00E73F0F">
            <w:pPr>
              <w:ind w:firstLine="8"/>
              <w:jc w:val="right"/>
              <w:rPr>
                <w:rFonts w:ascii="Arial" w:hAnsi="Arial" w:cs="Arial"/>
                <w:color w:val="000000"/>
              </w:rPr>
            </w:pPr>
            <w:r w:rsidRPr="006F5386">
              <w:rPr>
                <w:rFonts w:ascii="Arial" w:hAnsi="Arial" w:cs="Arial"/>
                <w:color w:val="000000"/>
              </w:rPr>
              <w:t xml:space="preserve">$288,540 </w:t>
            </w:r>
          </w:p>
        </w:tc>
      </w:tr>
      <w:tr w:rsidR="006F5386" w:rsidRPr="006F5386" w14:paraId="267EAD8C" w14:textId="77777777" w:rsidTr="00E73F0F">
        <w:trPr>
          <w:trHeight w:val="31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4C87E4DB"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2022</w:t>
            </w:r>
          </w:p>
        </w:tc>
        <w:tc>
          <w:tcPr>
            <w:tcW w:w="1231" w:type="dxa"/>
            <w:tcBorders>
              <w:top w:val="nil"/>
              <w:left w:val="nil"/>
              <w:bottom w:val="single" w:sz="8" w:space="0" w:color="auto"/>
              <w:right w:val="single" w:sz="8" w:space="0" w:color="auto"/>
            </w:tcBorders>
            <w:shd w:val="clear" w:color="auto" w:fill="auto"/>
            <w:noWrap/>
            <w:vAlign w:val="center"/>
            <w:hideMark/>
          </w:tcPr>
          <w:p w14:paraId="14638EC3"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14,119</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4A688337" w14:textId="77777777" w:rsidR="006F5386" w:rsidRPr="006F5386" w:rsidRDefault="006F5386" w:rsidP="00E73F0F">
            <w:pPr>
              <w:ind w:firstLine="8"/>
              <w:jc w:val="right"/>
              <w:rPr>
                <w:rFonts w:ascii="Arial" w:hAnsi="Arial" w:cs="Arial"/>
                <w:color w:val="000000"/>
              </w:rPr>
            </w:pPr>
            <w:r w:rsidRPr="006F5386">
              <w:rPr>
                <w:rFonts w:ascii="Arial" w:hAnsi="Arial" w:cs="Arial"/>
                <w:color w:val="000000"/>
              </w:rPr>
              <w:t xml:space="preserve">$304,855 </w:t>
            </w:r>
          </w:p>
        </w:tc>
      </w:tr>
      <w:tr w:rsidR="006F5386" w:rsidRPr="006F5386" w14:paraId="08A938E0" w14:textId="77777777" w:rsidTr="00E73F0F">
        <w:trPr>
          <w:trHeight w:val="31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4D4A228" w14:textId="77777777" w:rsidR="006F5386" w:rsidRPr="006F5386" w:rsidRDefault="006F5386" w:rsidP="00E73F0F">
            <w:pPr>
              <w:ind w:firstLine="8"/>
              <w:jc w:val="center"/>
              <w:rPr>
                <w:rFonts w:ascii="Arial" w:hAnsi="Arial" w:cs="Arial"/>
                <w:b/>
                <w:color w:val="000000"/>
              </w:rPr>
            </w:pPr>
            <w:r w:rsidRPr="006F5386">
              <w:rPr>
                <w:rFonts w:ascii="Arial" w:hAnsi="Arial" w:cs="Arial"/>
                <w:b/>
                <w:color w:val="000000"/>
              </w:rPr>
              <w:t>5-year Total</w:t>
            </w:r>
          </w:p>
        </w:tc>
        <w:tc>
          <w:tcPr>
            <w:tcW w:w="1231" w:type="dxa"/>
            <w:tcBorders>
              <w:top w:val="nil"/>
              <w:left w:val="nil"/>
              <w:bottom w:val="single" w:sz="8" w:space="0" w:color="auto"/>
              <w:right w:val="single" w:sz="8" w:space="0" w:color="auto"/>
            </w:tcBorders>
            <w:shd w:val="clear" w:color="auto" w:fill="auto"/>
            <w:noWrap/>
            <w:vAlign w:val="center"/>
            <w:hideMark/>
          </w:tcPr>
          <w:p w14:paraId="4C5DD19D"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463F6241" w14:textId="77777777" w:rsidR="006F5386" w:rsidRPr="006F5386" w:rsidRDefault="006F5386" w:rsidP="00E73F0F">
            <w:pPr>
              <w:ind w:firstLine="8"/>
              <w:jc w:val="right"/>
              <w:rPr>
                <w:rFonts w:ascii="Arial" w:hAnsi="Arial" w:cs="Arial"/>
                <w:b/>
                <w:color w:val="000000"/>
              </w:rPr>
            </w:pPr>
            <w:r w:rsidRPr="006F5386">
              <w:rPr>
                <w:rFonts w:ascii="Arial" w:hAnsi="Arial" w:cs="Arial"/>
                <w:b/>
                <w:color w:val="000000"/>
              </w:rPr>
              <w:t>$1,</w:t>
            </w:r>
            <w:r w:rsidRPr="006F5386">
              <w:rPr>
                <w:rFonts w:ascii="Arial" w:hAnsi="Arial" w:cs="Arial"/>
                <w:b/>
                <w:bCs/>
                <w:color w:val="000000"/>
              </w:rPr>
              <w:t>349,634</w:t>
            </w:r>
            <w:r w:rsidRPr="006F5386">
              <w:rPr>
                <w:rFonts w:ascii="Arial" w:hAnsi="Arial" w:cs="Arial"/>
                <w:b/>
                <w:color w:val="000000"/>
              </w:rPr>
              <w:t xml:space="preserve"> </w:t>
            </w:r>
          </w:p>
        </w:tc>
      </w:tr>
    </w:tbl>
    <w:p w14:paraId="5EF79402" w14:textId="77777777" w:rsidR="006F5386" w:rsidRPr="006F5386" w:rsidRDefault="006F5386" w:rsidP="006F5386">
      <w:pPr>
        <w:pStyle w:val="ListParagraph"/>
        <w:tabs>
          <w:tab w:val="left" w:pos="630"/>
        </w:tabs>
        <w:ind w:left="0"/>
        <w:rPr>
          <w:rFonts w:ascii="Arial" w:hAnsi="Arial" w:cs="Arial"/>
          <w:sz w:val="24"/>
          <w:szCs w:val="24"/>
        </w:rPr>
      </w:pPr>
    </w:p>
    <w:p w14:paraId="5AF5F820" w14:textId="77777777" w:rsidR="006F5386" w:rsidRPr="006F5386" w:rsidRDefault="006F5386" w:rsidP="006F5386">
      <w:pPr>
        <w:pStyle w:val="ListParagraph"/>
        <w:tabs>
          <w:tab w:val="left" w:pos="630"/>
        </w:tabs>
        <w:ind w:left="0"/>
        <w:rPr>
          <w:rFonts w:ascii="Arial" w:hAnsi="Arial" w:cs="Arial"/>
          <w:sz w:val="24"/>
          <w:szCs w:val="24"/>
        </w:rPr>
      </w:pPr>
    </w:p>
    <w:p w14:paraId="293CD6F1" w14:textId="77777777" w:rsidR="006F5386" w:rsidRDefault="006F5386" w:rsidP="006F5386">
      <w:pPr>
        <w:pStyle w:val="ListParagraph"/>
        <w:tabs>
          <w:tab w:val="left" w:pos="630"/>
        </w:tabs>
        <w:ind w:left="0"/>
        <w:rPr>
          <w:rFonts w:ascii="Arial" w:hAnsi="Arial" w:cs="Arial"/>
          <w:sz w:val="24"/>
          <w:szCs w:val="24"/>
          <w:u w:val="single"/>
        </w:rPr>
      </w:pPr>
    </w:p>
    <w:p w14:paraId="3D8E117F" w14:textId="77777777" w:rsidR="006F5386" w:rsidRPr="006F5386" w:rsidRDefault="006F5386" w:rsidP="006F5386">
      <w:pPr>
        <w:pStyle w:val="ListParagraph"/>
        <w:tabs>
          <w:tab w:val="left" w:pos="630"/>
        </w:tabs>
        <w:ind w:left="0"/>
        <w:rPr>
          <w:rFonts w:ascii="Arial" w:hAnsi="Arial" w:cs="Arial"/>
          <w:sz w:val="24"/>
          <w:szCs w:val="24"/>
          <w:u w:val="single"/>
        </w:rPr>
      </w:pPr>
      <w:r w:rsidRPr="006F5386">
        <w:rPr>
          <w:rFonts w:ascii="Arial" w:hAnsi="Arial" w:cs="Arial"/>
          <w:sz w:val="24"/>
          <w:szCs w:val="24"/>
          <w:u w:val="single"/>
        </w:rPr>
        <w:t>Reservist Costs</w:t>
      </w:r>
    </w:p>
    <w:p w14:paraId="0E420B9B" w14:textId="77777777" w:rsidR="006F5386" w:rsidRPr="006F5386" w:rsidRDefault="006F5386" w:rsidP="006F5386">
      <w:pPr>
        <w:pStyle w:val="ListParagraph"/>
        <w:tabs>
          <w:tab w:val="left" w:pos="630"/>
        </w:tabs>
        <w:ind w:left="0"/>
        <w:rPr>
          <w:rFonts w:ascii="Arial" w:hAnsi="Arial" w:cs="Arial"/>
          <w:sz w:val="24"/>
          <w:szCs w:val="24"/>
        </w:rPr>
      </w:pPr>
      <w:r w:rsidRPr="006F5386">
        <w:rPr>
          <w:rFonts w:ascii="Arial" w:hAnsi="Arial" w:cs="Arial"/>
          <w:sz w:val="24"/>
          <w:szCs w:val="24"/>
        </w:rPr>
        <w:t>The projected reservist caseload for each condition was also distributed by degree of disability, based on the distribution of Veterans currently on the rolls for the respective condition.  However, VA assumes that all reservists would be new to the compensation rolls, as opposed to 52.6 percent new to the rolls and 47.4 percent already on the rolls for Veterans.  To calculate costs for reservists, the average payments at each degree of disability from the 2017 MSR Budget were applied to the caseload.  COLA’s from the 2017 MSR Budget were applied to estimate average costs in the out-years.  Total reservist caseload and costs associated with the Camp Lejeune presumptive conditions are shown in the table below.</w:t>
      </w:r>
    </w:p>
    <w:p w14:paraId="16C40451" w14:textId="77777777" w:rsidR="006F5386" w:rsidRPr="006F5386" w:rsidRDefault="006F5386" w:rsidP="006F5386">
      <w:pPr>
        <w:pStyle w:val="ListParagraph"/>
        <w:tabs>
          <w:tab w:val="left" w:pos="630"/>
        </w:tabs>
        <w:ind w:left="0"/>
        <w:rPr>
          <w:rFonts w:ascii="Arial" w:hAnsi="Arial" w:cs="Arial"/>
          <w:sz w:val="24"/>
          <w:szCs w:val="24"/>
        </w:rPr>
      </w:pPr>
    </w:p>
    <w:tbl>
      <w:tblPr>
        <w:tblW w:w="4496" w:type="dxa"/>
        <w:jc w:val="center"/>
        <w:tblLook w:val="04A0" w:firstRow="1" w:lastRow="0" w:firstColumn="1" w:lastColumn="0" w:noHBand="0" w:noVBand="1"/>
      </w:tblPr>
      <w:tblGrid>
        <w:gridCol w:w="1677"/>
        <w:gridCol w:w="1236"/>
        <w:gridCol w:w="1568"/>
        <w:gridCol w:w="15"/>
      </w:tblGrid>
      <w:tr w:rsidR="006F5386" w:rsidRPr="006F5386" w14:paraId="34CEBD5C" w14:textId="77777777" w:rsidTr="00E73F0F">
        <w:trPr>
          <w:trHeight w:val="315"/>
          <w:jc w:val="center"/>
        </w:trPr>
        <w:tc>
          <w:tcPr>
            <w:tcW w:w="449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E64414" w14:textId="77777777" w:rsidR="006F5386" w:rsidRPr="006F5386" w:rsidRDefault="006F5386" w:rsidP="00E73F0F">
            <w:pPr>
              <w:jc w:val="center"/>
              <w:rPr>
                <w:rFonts w:ascii="Arial" w:hAnsi="Arial" w:cs="Arial"/>
                <w:color w:val="000000"/>
              </w:rPr>
            </w:pPr>
            <w:r w:rsidRPr="006F5386">
              <w:rPr>
                <w:rFonts w:ascii="Arial" w:hAnsi="Arial" w:cs="Arial"/>
                <w:color w:val="000000"/>
              </w:rPr>
              <w:t>Reservists</w:t>
            </w:r>
          </w:p>
        </w:tc>
      </w:tr>
      <w:tr w:rsidR="006F5386" w:rsidRPr="006F5386" w14:paraId="408B3852" w14:textId="77777777" w:rsidTr="00E73F0F">
        <w:trPr>
          <w:gridAfter w:val="1"/>
          <w:wAfter w:w="15" w:type="dxa"/>
          <w:trHeight w:val="585"/>
          <w:jc w:val="center"/>
        </w:trPr>
        <w:tc>
          <w:tcPr>
            <w:tcW w:w="1677" w:type="dxa"/>
            <w:tcBorders>
              <w:top w:val="nil"/>
              <w:left w:val="single" w:sz="8" w:space="0" w:color="auto"/>
              <w:bottom w:val="single" w:sz="8" w:space="0" w:color="auto"/>
              <w:right w:val="single" w:sz="8" w:space="0" w:color="auto"/>
            </w:tcBorders>
            <w:shd w:val="clear" w:color="auto" w:fill="auto"/>
            <w:noWrap/>
            <w:vAlign w:val="center"/>
            <w:hideMark/>
          </w:tcPr>
          <w:p w14:paraId="7A434344" w14:textId="77777777" w:rsidR="006F5386" w:rsidRPr="006F5386" w:rsidRDefault="006F5386" w:rsidP="00E73F0F">
            <w:pPr>
              <w:ind w:hanging="29"/>
              <w:jc w:val="center"/>
              <w:rPr>
                <w:rFonts w:ascii="Arial" w:hAnsi="Arial" w:cs="Arial"/>
                <w:color w:val="000000"/>
              </w:rPr>
            </w:pPr>
            <w:r w:rsidRPr="006F5386">
              <w:rPr>
                <w:rFonts w:ascii="Arial" w:hAnsi="Arial" w:cs="Arial"/>
                <w:color w:val="000000"/>
              </w:rPr>
              <w:t>FY</w:t>
            </w:r>
          </w:p>
        </w:tc>
        <w:tc>
          <w:tcPr>
            <w:tcW w:w="1236" w:type="dxa"/>
            <w:tcBorders>
              <w:top w:val="nil"/>
              <w:left w:val="nil"/>
              <w:bottom w:val="single" w:sz="8" w:space="0" w:color="auto"/>
              <w:right w:val="single" w:sz="8" w:space="0" w:color="auto"/>
            </w:tcBorders>
            <w:shd w:val="clear" w:color="auto" w:fill="auto"/>
            <w:noWrap/>
            <w:vAlign w:val="center"/>
            <w:hideMark/>
          </w:tcPr>
          <w:p w14:paraId="01788789" w14:textId="77777777" w:rsidR="006F5386" w:rsidRPr="006F5386" w:rsidRDefault="006F5386" w:rsidP="00E73F0F">
            <w:pPr>
              <w:jc w:val="center"/>
              <w:rPr>
                <w:rFonts w:ascii="Arial" w:hAnsi="Arial" w:cs="Arial"/>
                <w:color w:val="000000"/>
              </w:rPr>
            </w:pPr>
            <w:r w:rsidRPr="006F5386">
              <w:rPr>
                <w:rFonts w:ascii="Arial" w:hAnsi="Arial" w:cs="Arial"/>
                <w:color w:val="000000"/>
              </w:rPr>
              <w:t>Caseload</w:t>
            </w:r>
          </w:p>
        </w:tc>
        <w:tc>
          <w:tcPr>
            <w:tcW w:w="1568" w:type="dxa"/>
            <w:tcBorders>
              <w:top w:val="nil"/>
              <w:left w:val="nil"/>
              <w:bottom w:val="single" w:sz="8" w:space="0" w:color="auto"/>
              <w:right w:val="single" w:sz="8" w:space="0" w:color="auto"/>
            </w:tcBorders>
            <w:shd w:val="clear" w:color="auto" w:fill="auto"/>
            <w:vAlign w:val="center"/>
            <w:hideMark/>
          </w:tcPr>
          <w:p w14:paraId="07F441C1" w14:textId="77777777" w:rsidR="006F5386" w:rsidRPr="006F5386" w:rsidRDefault="006F5386" w:rsidP="00E73F0F">
            <w:pPr>
              <w:jc w:val="center"/>
              <w:rPr>
                <w:rFonts w:ascii="Arial" w:hAnsi="Arial" w:cs="Arial"/>
                <w:color w:val="000000"/>
              </w:rPr>
            </w:pPr>
            <w:r w:rsidRPr="006F5386">
              <w:rPr>
                <w:rFonts w:ascii="Arial" w:hAnsi="Arial" w:cs="Arial"/>
                <w:color w:val="000000"/>
              </w:rPr>
              <w:t>Obligations</w:t>
            </w:r>
            <w:r w:rsidRPr="006F5386">
              <w:rPr>
                <w:rFonts w:ascii="Arial" w:hAnsi="Arial" w:cs="Arial"/>
                <w:color w:val="000000"/>
              </w:rPr>
              <w:br/>
              <w:t>(in 000's)</w:t>
            </w:r>
          </w:p>
        </w:tc>
      </w:tr>
      <w:tr w:rsidR="006F5386" w:rsidRPr="006F5386" w14:paraId="5556DF03" w14:textId="77777777" w:rsidTr="00E73F0F">
        <w:trPr>
          <w:gridAfter w:val="1"/>
          <w:wAfter w:w="15" w:type="dxa"/>
          <w:trHeight w:val="315"/>
          <w:jc w:val="center"/>
        </w:trPr>
        <w:tc>
          <w:tcPr>
            <w:tcW w:w="1677" w:type="dxa"/>
            <w:tcBorders>
              <w:top w:val="nil"/>
              <w:left w:val="single" w:sz="8" w:space="0" w:color="auto"/>
              <w:bottom w:val="single" w:sz="8" w:space="0" w:color="auto"/>
              <w:right w:val="single" w:sz="8" w:space="0" w:color="auto"/>
            </w:tcBorders>
            <w:shd w:val="clear" w:color="auto" w:fill="auto"/>
            <w:noWrap/>
            <w:vAlign w:val="center"/>
            <w:hideMark/>
          </w:tcPr>
          <w:p w14:paraId="37FC7167" w14:textId="77777777" w:rsidR="006F5386" w:rsidRPr="006F5386" w:rsidRDefault="006F5386" w:rsidP="00E73F0F">
            <w:pPr>
              <w:ind w:hanging="29"/>
              <w:jc w:val="center"/>
              <w:rPr>
                <w:rFonts w:ascii="Arial" w:hAnsi="Arial" w:cs="Arial"/>
                <w:color w:val="000000"/>
              </w:rPr>
            </w:pPr>
            <w:r w:rsidRPr="006F5386">
              <w:rPr>
                <w:rFonts w:ascii="Arial" w:hAnsi="Arial" w:cs="Arial"/>
                <w:color w:val="000000"/>
              </w:rPr>
              <w:t>2018</w:t>
            </w:r>
          </w:p>
        </w:tc>
        <w:tc>
          <w:tcPr>
            <w:tcW w:w="1236" w:type="dxa"/>
            <w:tcBorders>
              <w:top w:val="nil"/>
              <w:left w:val="nil"/>
              <w:bottom w:val="single" w:sz="8" w:space="0" w:color="auto"/>
              <w:right w:val="single" w:sz="8" w:space="0" w:color="auto"/>
            </w:tcBorders>
            <w:shd w:val="clear" w:color="auto" w:fill="auto"/>
            <w:noWrap/>
            <w:vAlign w:val="center"/>
            <w:hideMark/>
          </w:tcPr>
          <w:p w14:paraId="6A9742D9" w14:textId="77777777" w:rsidR="006F5386" w:rsidRPr="006F5386" w:rsidRDefault="006F5386" w:rsidP="00E73F0F">
            <w:pPr>
              <w:jc w:val="center"/>
              <w:rPr>
                <w:rFonts w:ascii="Arial" w:hAnsi="Arial" w:cs="Arial"/>
                <w:color w:val="000000"/>
              </w:rPr>
            </w:pPr>
            <w:r w:rsidRPr="006F5386">
              <w:rPr>
                <w:rFonts w:ascii="Arial" w:hAnsi="Arial" w:cs="Arial"/>
                <w:color w:val="000000"/>
              </w:rPr>
              <w:t>2,342</w:t>
            </w:r>
          </w:p>
        </w:tc>
        <w:tc>
          <w:tcPr>
            <w:tcW w:w="1568" w:type="dxa"/>
            <w:tcBorders>
              <w:top w:val="nil"/>
              <w:left w:val="nil"/>
              <w:bottom w:val="single" w:sz="8" w:space="0" w:color="auto"/>
              <w:right w:val="single" w:sz="8" w:space="0" w:color="auto"/>
            </w:tcBorders>
            <w:shd w:val="clear" w:color="auto" w:fill="auto"/>
            <w:noWrap/>
            <w:vAlign w:val="center"/>
            <w:hideMark/>
          </w:tcPr>
          <w:p w14:paraId="47EC7525" w14:textId="77777777" w:rsidR="006F5386" w:rsidRPr="006F5386" w:rsidRDefault="006F5386" w:rsidP="00E73F0F">
            <w:pPr>
              <w:jc w:val="right"/>
              <w:rPr>
                <w:rFonts w:ascii="Arial" w:hAnsi="Arial" w:cs="Arial"/>
                <w:color w:val="000000"/>
              </w:rPr>
            </w:pPr>
            <w:r w:rsidRPr="006F5386">
              <w:rPr>
                <w:rFonts w:ascii="Arial" w:hAnsi="Arial" w:cs="Arial"/>
                <w:color w:val="000000"/>
              </w:rPr>
              <w:t xml:space="preserve">$52,979 </w:t>
            </w:r>
          </w:p>
        </w:tc>
      </w:tr>
      <w:tr w:rsidR="006F5386" w:rsidRPr="006F5386" w14:paraId="6CFBB84C" w14:textId="77777777" w:rsidTr="00E73F0F">
        <w:trPr>
          <w:gridAfter w:val="1"/>
          <w:wAfter w:w="15" w:type="dxa"/>
          <w:trHeight w:val="315"/>
          <w:jc w:val="center"/>
        </w:trPr>
        <w:tc>
          <w:tcPr>
            <w:tcW w:w="1677" w:type="dxa"/>
            <w:tcBorders>
              <w:top w:val="nil"/>
              <w:left w:val="single" w:sz="8" w:space="0" w:color="auto"/>
              <w:bottom w:val="single" w:sz="8" w:space="0" w:color="auto"/>
              <w:right w:val="single" w:sz="8" w:space="0" w:color="auto"/>
            </w:tcBorders>
            <w:shd w:val="clear" w:color="auto" w:fill="auto"/>
            <w:noWrap/>
            <w:vAlign w:val="center"/>
            <w:hideMark/>
          </w:tcPr>
          <w:p w14:paraId="00B65660" w14:textId="77777777" w:rsidR="006F5386" w:rsidRPr="006F5386" w:rsidRDefault="006F5386" w:rsidP="00E73F0F">
            <w:pPr>
              <w:ind w:hanging="29"/>
              <w:jc w:val="center"/>
              <w:rPr>
                <w:rFonts w:ascii="Arial" w:hAnsi="Arial" w:cs="Arial"/>
                <w:color w:val="000000"/>
              </w:rPr>
            </w:pPr>
            <w:r w:rsidRPr="006F5386">
              <w:rPr>
                <w:rFonts w:ascii="Arial" w:hAnsi="Arial" w:cs="Arial"/>
                <w:color w:val="000000"/>
              </w:rPr>
              <w:t>2019</w:t>
            </w:r>
          </w:p>
        </w:tc>
        <w:tc>
          <w:tcPr>
            <w:tcW w:w="1236" w:type="dxa"/>
            <w:tcBorders>
              <w:top w:val="nil"/>
              <w:left w:val="nil"/>
              <w:bottom w:val="single" w:sz="8" w:space="0" w:color="auto"/>
              <w:right w:val="single" w:sz="8" w:space="0" w:color="auto"/>
            </w:tcBorders>
            <w:shd w:val="clear" w:color="auto" w:fill="auto"/>
            <w:noWrap/>
            <w:vAlign w:val="center"/>
            <w:hideMark/>
          </w:tcPr>
          <w:p w14:paraId="6E1C6402" w14:textId="77777777" w:rsidR="006F5386" w:rsidRPr="006F5386" w:rsidRDefault="006F5386" w:rsidP="00E73F0F">
            <w:pPr>
              <w:jc w:val="center"/>
              <w:rPr>
                <w:rFonts w:ascii="Arial" w:hAnsi="Arial" w:cs="Arial"/>
                <w:color w:val="000000"/>
              </w:rPr>
            </w:pPr>
            <w:r w:rsidRPr="006F5386">
              <w:rPr>
                <w:rFonts w:ascii="Arial" w:hAnsi="Arial" w:cs="Arial"/>
                <w:color w:val="000000"/>
              </w:rPr>
              <w:t>2,482</w:t>
            </w:r>
          </w:p>
        </w:tc>
        <w:tc>
          <w:tcPr>
            <w:tcW w:w="1568" w:type="dxa"/>
            <w:tcBorders>
              <w:top w:val="nil"/>
              <w:left w:val="nil"/>
              <w:bottom w:val="single" w:sz="8" w:space="0" w:color="auto"/>
              <w:right w:val="single" w:sz="8" w:space="0" w:color="auto"/>
            </w:tcBorders>
            <w:shd w:val="clear" w:color="auto" w:fill="auto"/>
            <w:noWrap/>
            <w:vAlign w:val="center"/>
            <w:hideMark/>
          </w:tcPr>
          <w:p w14:paraId="52359757" w14:textId="77777777" w:rsidR="006F5386" w:rsidRPr="006F5386" w:rsidRDefault="006F5386" w:rsidP="00E73F0F">
            <w:pPr>
              <w:jc w:val="right"/>
              <w:rPr>
                <w:rFonts w:ascii="Arial" w:hAnsi="Arial" w:cs="Arial"/>
                <w:color w:val="000000"/>
              </w:rPr>
            </w:pPr>
            <w:r w:rsidRPr="006F5386">
              <w:rPr>
                <w:rFonts w:ascii="Arial" w:hAnsi="Arial" w:cs="Arial"/>
                <w:color w:val="000000"/>
              </w:rPr>
              <w:t xml:space="preserve">$57,438 </w:t>
            </w:r>
          </w:p>
        </w:tc>
      </w:tr>
      <w:tr w:rsidR="006F5386" w:rsidRPr="006F5386" w14:paraId="7B35AB82" w14:textId="77777777" w:rsidTr="00E73F0F">
        <w:trPr>
          <w:gridAfter w:val="1"/>
          <w:wAfter w:w="15" w:type="dxa"/>
          <w:trHeight w:val="315"/>
          <w:jc w:val="center"/>
        </w:trPr>
        <w:tc>
          <w:tcPr>
            <w:tcW w:w="1677" w:type="dxa"/>
            <w:tcBorders>
              <w:top w:val="nil"/>
              <w:left w:val="single" w:sz="8" w:space="0" w:color="auto"/>
              <w:bottom w:val="single" w:sz="8" w:space="0" w:color="auto"/>
              <w:right w:val="single" w:sz="8" w:space="0" w:color="auto"/>
            </w:tcBorders>
            <w:shd w:val="clear" w:color="auto" w:fill="auto"/>
            <w:noWrap/>
            <w:vAlign w:val="center"/>
            <w:hideMark/>
          </w:tcPr>
          <w:p w14:paraId="0FDA37B2" w14:textId="77777777" w:rsidR="006F5386" w:rsidRPr="006F5386" w:rsidRDefault="006F5386" w:rsidP="00E73F0F">
            <w:pPr>
              <w:ind w:hanging="29"/>
              <w:jc w:val="center"/>
              <w:rPr>
                <w:rFonts w:ascii="Arial" w:hAnsi="Arial" w:cs="Arial"/>
                <w:color w:val="000000"/>
              </w:rPr>
            </w:pPr>
            <w:r w:rsidRPr="006F5386">
              <w:rPr>
                <w:rFonts w:ascii="Arial" w:hAnsi="Arial" w:cs="Arial"/>
                <w:color w:val="000000"/>
              </w:rPr>
              <w:t>2020</w:t>
            </w:r>
          </w:p>
        </w:tc>
        <w:tc>
          <w:tcPr>
            <w:tcW w:w="1236" w:type="dxa"/>
            <w:tcBorders>
              <w:top w:val="nil"/>
              <w:left w:val="nil"/>
              <w:bottom w:val="single" w:sz="8" w:space="0" w:color="auto"/>
              <w:right w:val="single" w:sz="8" w:space="0" w:color="auto"/>
            </w:tcBorders>
            <w:shd w:val="clear" w:color="auto" w:fill="auto"/>
            <w:noWrap/>
            <w:vAlign w:val="center"/>
            <w:hideMark/>
          </w:tcPr>
          <w:p w14:paraId="41975359" w14:textId="77777777" w:rsidR="006F5386" w:rsidRPr="006F5386" w:rsidRDefault="006F5386" w:rsidP="00E73F0F">
            <w:pPr>
              <w:jc w:val="center"/>
              <w:rPr>
                <w:rFonts w:ascii="Arial" w:hAnsi="Arial" w:cs="Arial"/>
                <w:color w:val="000000"/>
              </w:rPr>
            </w:pPr>
            <w:r w:rsidRPr="006F5386">
              <w:rPr>
                <w:rFonts w:ascii="Arial" w:hAnsi="Arial" w:cs="Arial"/>
                <w:color w:val="000000"/>
              </w:rPr>
              <w:t>2,602</w:t>
            </w:r>
          </w:p>
        </w:tc>
        <w:tc>
          <w:tcPr>
            <w:tcW w:w="1568" w:type="dxa"/>
            <w:tcBorders>
              <w:top w:val="nil"/>
              <w:left w:val="nil"/>
              <w:bottom w:val="single" w:sz="8" w:space="0" w:color="auto"/>
              <w:right w:val="single" w:sz="8" w:space="0" w:color="auto"/>
            </w:tcBorders>
            <w:shd w:val="clear" w:color="auto" w:fill="auto"/>
            <w:noWrap/>
            <w:vAlign w:val="center"/>
            <w:hideMark/>
          </w:tcPr>
          <w:p w14:paraId="65655333" w14:textId="77777777" w:rsidR="006F5386" w:rsidRPr="006F5386" w:rsidRDefault="006F5386" w:rsidP="00E73F0F">
            <w:pPr>
              <w:jc w:val="right"/>
              <w:rPr>
                <w:rFonts w:ascii="Arial" w:hAnsi="Arial" w:cs="Arial"/>
                <w:color w:val="000000"/>
              </w:rPr>
            </w:pPr>
            <w:r w:rsidRPr="006F5386">
              <w:rPr>
                <w:rFonts w:ascii="Arial" w:hAnsi="Arial" w:cs="Arial"/>
                <w:color w:val="000000"/>
              </w:rPr>
              <w:t xml:space="preserve">$61,744 </w:t>
            </w:r>
          </w:p>
        </w:tc>
      </w:tr>
      <w:tr w:rsidR="006F5386" w:rsidRPr="006F5386" w14:paraId="16EE1EB3" w14:textId="77777777" w:rsidTr="00E73F0F">
        <w:trPr>
          <w:gridAfter w:val="1"/>
          <w:wAfter w:w="15" w:type="dxa"/>
          <w:trHeight w:val="315"/>
          <w:jc w:val="center"/>
        </w:trPr>
        <w:tc>
          <w:tcPr>
            <w:tcW w:w="1677" w:type="dxa"/>
            <w:tcBorders>
              <w:top w:val="nil"/>
              <w:left w:val="single" w:sz="8" w:space="0" w:color="auto"/>
              <w:bottom w:val="single" w:sz="8" w:space="0" w:color="auto"/>
              <w:right w:val="single" w:sz="8" w:space="0" w:color="auto"/>
            </w:tcBorders>
            <w:shd w:val="clear" w:color="auto" w:fill="auto"/>
            <w:noWrap/>
            <w:vAlign w:val="center"/>
            <w:hideMark/>
          </w:tcPr>
          <w:p w14:paraId="55018E37" w14:textId="77777777" w:rsidR="006F5386" w:rsidRPr="006F5386" w:rsidRDefault="006F5386" w:rsidP="00E73F0F">
            <w:pPr>
              <w:ind w:hanging="29"/>
              <w:jc w:val="center"/>
              <w:rPr>
                <w:rFonts w:ascii="Arial" w:hAnsi="Arial" w:cs="Arial"/>
                <w:color w:val="000000"/>
              </w:rPr>
            </w:pPr>
            <w:r w:rsidRPr="006F5386">
              <w:rPr>
                <w:rFonts w:ascii="Arial" w:hAnsi="Arial" w:cs="Arial"/>
                <w:color w:val="000000"/>
              </w:rPr>
              <w:t>2021</w:t>
            </w:r>
          </w:p>
        </w:tc>
        <w:tc>
          <w:tcPr>
            <w:tcW w:w="1236" w:type="dxa"/>
            <w:tcBorders>
              <w:top w:val="nil"/>
              <w:left w:val="nil"/>
              <w:bottom w:val="single" w:sz="8" w:space="0" w:color="auto"/>
              <w:right w:val="single" w:sz="8" w:space="0" w:color="auto"/>
            </w:tcBorders>
            <w:shd w:val="clear" w:color="auto" w:fill="auto"/>
            <w:noWrap/>
            <w:vAlign w:val="center"/>
            <w:hideMark/>
          </w:tcPr>
          <w:p w14:paraId="37B9B4B7" w14:textId="77777777" w:rsidR="006F5386" w:rsidRPr="006F5386" w:rsidRDefault="006F5386" w:rsidP="00E73F0F">
            <w:pPr>
              <w:jc w:val="center"/>
              <w:rPr>
                <w:rFonts w:ascii="Arial" w:hAnsi="Arial" w:cs="Arial"/>
                <w:color w:val="000000"/>
              </w:rPr>
            </w:pPr>
            <w:r w:rsidRPr="006F5386">
              <w:rPr>
                <w:rFonts w:ascii="Arial" w:hAnsi="Arial" w:cs="Arial"/>
                <w:color w:val="000000"/>
              </w:rPr>
              <w:t>2,703</w:t>
            </w:r>
          </w:p>
        </w:tc>
        <w:tc>
          <w:tcPr>
            <w:tcW w:w="1568" w:type="dxa"/>
            <w:tcBorders>
              <w:top w:val="nil"/>
              <w:left w:val="nil"/>
              <w:bottom w:val="single" w:sz="8" w:space="0" w:color="auto"/>
              <w:right w:val="single" w:sz="8" w:space="0" w:color="auto"/>
            </w:tcBorders>
            <w:shd w:val="clear" w:color="auto" w:fill="auto"/>
            <w:noWrap/>
            <w:vAlign w:val="center"/>
            <w:hideMark/>
          </w:tcPr>
          <w:p w14:paraId="6A569710" w14:textId="77777777" w:rsidR="006F5386" w:rsidRPr="006F5386" w:rsidRDefault="006F5386" w:rsidP="00E73F0F">
            <w:pPr>
              <w:jc w:val="right"/>
              <w:rPr>
                <w:rFonts w:ascii="Arial" w:hAnsi="Arial" w:cs="Arial"/>
                <w:color w:val="000000"/>
              </w:rPr>
            </w:pPr>
            <w:r w:rsidRPr="006F5386">
              <w:rPr>
                <w:rFonts w:ascii="Arial" w:hAnsi="Arial" w:cs="Arial"/>
                <w:color w:val="000000"/>
              </w:rPr>
              <w:t xml:space="preserve">$65,616 </w:t>
            </w:r>
          </w:p>
        </w:tc>
      </w:tr>
      <w:tr w:rsidR="006F5386" w:rsidRPr="006F5386" w14:paraId="5BBEAFF6" w14:textId="77777777" w:rsidTr="00E73F0F">
        <w:trPr>
          <w:gridAfter w:val="1"/>
          <w:wAfter w:w="15" w:type="dxa"/>
          <w:trHeight w:val="315"/>
          <w:jc w:val="center"/>
        </w:trPr>
        <w:tc>
          <w:tcPr>
            <w:tcW w:w="1677" w:type="dxa"/>
            <w:tcBorders>
              <w:top w:val="nil"/>
              <w:left w:val="single" w:sz="8" w:space="0" w:color="auto"/>
              <w:bottom w:val="single" w:sz="8" w:space="0" w:color="auto"/>
              <w:right w:val="single" w:sz="8" w:space="0" w:color="auto"/>
            </w:tcBorders>
            <w:shd w:val="clear" w:color="auto" w:fill="auto"/>
            <w:noWrap/>
            <w:vAlign w:val="center"/>
            <w:hideMark/>
          </w:tcPr>
          <w:p w14:paraId="481C835B" w14:textId="77777777" w:rsidR="006F5386" w:rsidRPr="006F5386" w:rsidRDefault="006F5386" w:rsidP="00E73F0F">
            <w:pPr>
              <w:ind w:hanging="29"/>
              <w:jc w:val="center"/>
              <w:rPr>
                <w:rFonts w:ascii="Arial" w:hAnsi="Arial" w:cs="Arial"/>
                <w:color w:val="000000"/>
              </w:rPr>
            </w:pPr>
            <w:r w:rsidRPr="006F5386">
              <w:rPr>
                <w:rFonts w:ascii="Arial" w:hAnsi="Arial" w:cs="Arial"/>
                <w:color w:val="000000"/>
              </w:rPr>
              <w:t>2022</w:t>
            </w:r>
          </w:p>
        </w:tc>
        <w:tc>
          <w:tcPr>
            <w:tcW w:w="1236" w:type="dxa"/>
            <w:tcBorders>
              <w:top w:val="nil"/>
              <w:left w:val="nil"/>
              <w:bottom w:val="single" w:sz="8" w:space="0" w:color="auto"/>
              <w:right w:val="single" w:sz="8" w:space="0" w:color="auto"/>
            </w:tcBorders>
            <w:shd w:val="clear" w:color="auto" w:fill="auto"/>
            <w:noWrap/>
            <w:vAlign w:val="center"/>
            <w:hideMark/>
          </w:tcPr>
          <w:p w14:paraId="08E81B18" w14:textId="77777777" w:rsidR="006F5386" w:rsidRPr="006F5386" w:rsidRDefault="006F5386" w:rsidP="00E73F0F">
            <w:pPr>
              <w:jc w:val="center"/>
              <w:rPr>
                <w:rFonts w:ascii="Arial" w:hAnsi="Arial" w:cs="Arial"/>
                <w:color w:val="000000"/>
              </w:rPr>
            </w:pPr>
            <w:r w:rsidRPr="006F5386">
              <w:rPr>
                <w:rFonts w:ascii="Arial" w:hAnsi="Arial" w:cs="Arial"/>
                <w:color w:val="000000"/>
              </w:rPr>
              <w:t>2,791</w:t>
            </w:r>
          </w:p>
        </w:tc>
        <w:tc>
          <w:tcPr>
            <w:tcW w:w="1568" w:type="dxa"/>
            <w:tcBorders>
              <w:top w:val="nil"/>
              <w:left w:val="nil"/>
              <w:bottom w:val="single" w:sz="8" w:space="0" w:color="auto"/>
              <w:right w:val="single" w:sz="8" w:space="0" w:color="auto"/>
            </w:tcBorders>
            <w:shd w:val="clear" w:color="auto" w:fill="auto"/>
            <w:noWrap/>
            <w:vAlign w:val="center"/>
            <w:hideMark/>
          </w:tcPr>
          <w:p w14:paraId="4B6423D0" w14:textId="77777777" w:rsidR="006F5386" w:rsidRPr="006F5386" w:rsidRDefault="006F5386" w:rsidP="00E73F0F">
            <w:pPr>
              <w:jc w:val="right"/>
              <w:rPr>
                <w:rFonts w:ascii="Arial" w:hAnsi="Arial" w:cs="Arial"/>
                <w:color w:val="000000"/>
              </w:rPr>
            </w:pPr>
            <w:r w:rsidRPr="006F5386">
              <w:rPr>
                <w:rFonts w:ascii="Arial" w:hAnsi="Arial" w:cs="Arial"/>
                <w:color w:val="000000"/>
              </w:rPr>
              <w:t xml:space="preserve">$69,427 </w:t>
            </w:r>
          </w:p>
        </w:tc>
      </w:tr>
      <w:tr w:rsidR="006F5386" w:rsidRPr="006F5386" w14:paraId="60EDE888" w14:textId="77777777" w:rsidTr="00E73F0F">
        <w:trPr>
          <w:gridAfter w:val="1"/>
          <w:wAfter w:w="15" w:type="dxa"/>
          <w:trHeight w:val="315"/>
          <w:jc w:val="center"/>
        </w:trPr>
        <w:tc>
          <w:tcPr>
            <w:tcW w:w="1677" w:type="dxa"/>
            <w:tcBorders>
              <w:top w:val="nil"/>
              <w:left w:val="single" w:sz="8" w:space="0" w:color="auto"/>
              <w:bottom w:val="single" w:sz="8" w:space="0" w:color="auto"/>
              <w:right w:val="single" w:sz="8" w:space="0" w:color="auto"/>
            </w:tcBorders>
            <w:shd w:val="clear" w:color="auto" w:fill="auto"/>
            <w:noWrap/>
            <w:vAlign w:val="center"/>
            <w:hideMark/>
          </w:tcPr>
          <w:p w14:paraId="3D71628F" w14:textId="77777777" w:rsidR="006F5386" w:rsidRPr="006F5386" w:rsidRDefault="006F5386" w:rsidP="00E73F0F">
            <w:pPr>
              <w:ind w:hanging="29"/>
              <w:jc w:val="center"/>
              <w:rPr>
                <w:rFonts w:ascii="Arial" w:hAnsi="Arial" w:cs="Arial"/>
                <w:b/>
                <w:color w:val="000000"/>
              </w:rPr>
            </w:pPr>
            <w:r w:rsidRPr="006F5386">
              <w:rPr>
                <w:rFonts w:ascii="Arial" w:hAnsi="Arial" w:cs="Arial"/>
                <w:b/>
                <w:color w:val="000000"/>
              </w:rPr>
              <w:t>5-year Total</w:t>
            </w:r>
          </w:p>
        </w:tc>
        <w:tc>
          <w:tcPr>
            <w:tcW w:w="1236" w:type="dxa"/>
            <w:tcBorders>
              <w:top w:val="nil"/>
              <w:left w:val="nil"/>
              <w:bottom w:val="single" w:sz="8" w:space="0" w:color="auto"/>
              <w:right w:val="single" w:sz="8" w:space="0" w:color="auto"/>
            </w:tcBorders>
            <w:shd w:val="clear" w:color="auto" w:fill="auto"/>
            <w:noWrap/>
            <w:vAlign w:val="center"/>
            <w:hideMark/>
          </w:tcPr>
          <w:p w14:paraId="41DEDAE5" w14:textId="77777777" w:rsidR="006F5386" w:rsidRPr="006F5386" w:rsidRDefault="006F5386" w:rsidP="00E73F0F">
            <w:pPr>
              <w:jc w:val="center"/>
              <w:rPr>
                <w:rFonts w:ascii="Arial" w:hAnsi="Arial" w:cs="Arial"/>
                <w:color w:val="000000"/>
              </w:rPr>
            </w:pPr>
            <w:r w:rsidRPr="006F5386">
              <w:rPr>
                <w:rFonts w:ascii="Arial" w:hAnsi="Arial" w:cs="Arial"/>
                <w:color w:val="000000"/>
              </w:rPr>
              <w:t> </w:t>
            </w:r>
          </w:p>
        </w:tc>
        <w:tc>
          <w:tcPr>
            <w:tcW w:w="1568" w:type="dxa"/>
            <w:tcBorders>
              <w:top w:val="nil"/>
              <w:left w:val="nil"/>
              <w:bottom w:val="single" w:sz="8" w:space="0" w:color="auto"/>
              <w:right w:val="single" w:sz="8" w:space="0" w:color="auto"/>
            </w:tcBorders>
            <w:shd w:val="clear" w:color="auto" w:fill="auto"/>
            <w:noWrap/>
            <w:vAlign w:val="center"/>
            <w:hideMark/>
          </w:tcPr>
          <w:p w14:paraId="1D805FF4" w14:textId="77777777" w:rsidR="006F5386" w:rsidRPr="006F5386" w:rsidRDefault="006F5386" w:rsidP="00E73F0F">
            <w:pPr>
              <w:jc w:val="right"/>
              <w:rPr>
                <w:rFonts w:ascii="Arial" w:hAnsi="Arial" w:cs="Arial"/>
                <w:b/>
                <w:color w:val="000000"/>
              </w:rPr>
            </w:pPr>
            <w:r w:rsidRPr="006F5386">
              <w:rPr>
                <w:rFonts w:ascii="Arial" w:hAnsi="Arial" w:cs="Arial"/>
                <w:b/>
                <w:color w:val="000000"/>
              </w:rPr>
              <w:t>$</w:t>
            </w:r>
            <w:r w:rsidRPr="006F5386">
              <w:rPr>
                <w:rFonts w:ascii="Arial" w:hAnsi="Arial" w:cs="Arial"/>
                <w:b/>
                <w:bCs/>
                <w:color w:val="000000"/>
              </w:rPr>
              <w:t>307,204</w:t>
            </w:r>
            <w:r w:rsidRPr="006F5386">
              <w:rPr>
                <w:rFonts w:ascii="Arial" w:hAnsi="Arial" w:cs="Arial"/>
                <w:b/>
                <w:color w:val="000000"/>
              </w:rPr>
              <w:t xml:space="preserve"> </w:t>
            </w:r>
          </w:p>
        </w:tc>
      </w:tr>
    </w:tbl>
    <w:p w14:paraId="21FEA1E5" w14:textId="77777777" w:rsidR="006F5386" w:rsidRPr="006F5386" w:rsidRDefault="006F5386" w:rsidP="006F5386">
      <w:pPr>
        <w:pStyle w:val="ListParagraph"/>
        <w:tabs>
          <w:tab w:val="left" w:pos="630"/>
        </w:tabs>
        <w:ind w:left="0"/>
        <w:rPr>
          <w:rFonts w:ascii="Arial" w:hAnsi="Arial" w:cs="Arial"/>
          <w:sz w:val="24"/>
          <w:szCs w:val="24"/>
          <w:u w:val="single"/>
        </w:rPr>
      </w:pPr>
    </w:p>
    <w:p w14:paraId="409584AA" w14:textId="77777777" w:rsidR="006F5386" w:rsidRPr="006F5386" w:rsidRDefault="006F5386" w:rsidP="006F5386">
      <w:pPr>
        <w:pStyle w:val="ListParagraph"/>
        <w:tabs>
          <w:tab w:val="left" w:pos="630"/>
        </w:tabs>
        <w:ind w:left="0"/>
        <w:rPr>
          <w:rFonts w:ascii="Arial" w:hAnsi="Arial" w:cs="Arial"/>
          <w:sz w:val="24"/>
          <w:szCs w:val="24"/>
          <w:u w:val="single"/>
        </w:rPr>
      </w:pPr>
    </w:p>
    <w:p w14:paraId="430F499F" w14:textId="77777777" w:rsidR="006F5386" w:rsidRPr="006F5386" w:rsidRDefault="006F5386" w:rsidP="006F5386">
      <w:pPr>
        <w:pStyle w:val="ListParagraph"/>
        <w:tabs>
          <w:tab w:val="left" w:pos="630"/>
        </w:tabs>
        <w:ind w:left="0"/>
        <w:rPr>
          <w:rFonts w:ascii="Arial" w:hAnsi="Arial" w:cs="Arial"/>
          <w:sz w:val="24"/>
          <w:szCs w:val="24"/>
          <w:u w:val="single"/>
        </w:rPr>
      </w:pPr>
      <w:r w:rsidRPr="006F5386">
        <w:rPr>
          <w:rFonts w:ascii="Arial" w:hAnsi="Arial" w:cs="Arial"/>
          <w:sz w:val="24"/>
          <w:szCs w:val="24"/>
          <w:u w:val="single"/>
        </w:rPr>
        <w:t>Survivor Caseload</w:t>
      </w:r>
    </w:p>
    <w:p w14:paraId="3C8826C3" w14:textId="77777777" w:rsidR="006F5386" w:rsidRPr="006F5386" w:rsidRDefault="006F5386" w:rsidP="006F5386">
      <w:pPr>
        <w:pStyle w:val="ListParagraph"/>
        <w:tabs>
          <w:tab w:val="left" w:pos="630"/>
        </w:tabs>
        <w:ind w:left="0"/>
        <w:rPr>
          <w:rFonts w:ascii="Arial" w:hAnsi="Arial" w:cs="Arial"/>
          <w:sz w:val="24"/>
          <w:szCs w:val="24"/>
        </w:rPr>
      </w:pPr>
      <w:r w:rsidRPr="006F5386">
        <w:rPr>
          <w:rFonts w:ascii="Arial" w:hAnsi="Arial" w:cs="Arial"/>
          <w:sz w:val="24"/>
          <w:szCs w:val="24"/>
        </w:rPr>
        <w:t xml:space="preserve">For purposes of this cost estimate, VA assumes that survivor Dependency and Indemnity Compensation (DIC) eligibility is a direct result of the Camp Lejeune related condition and that the survivors would not have been eligible for DIC based on other conditions the Veteran may have had.  To estimate the number of survivors receiving DIC in 2018, data on deaths resulting from each condition was found from the sources listed above and applied to the estimated 315,664 Veterans and 62,461 Reservists that served at Camp Lejeune that deceased prior to 2018.  Of the Veterans and reservists that died as a result of one of these conditions, VA further assumes that 50 percent were married, based on Census Bureau marriage statistics.  Further, VA assumes that 60 percent of the spouses are still living, based on the percentage of living Veterans that were exposed to water contamination at Camp Lejeune.  VA also assumes that 90 percent of eligible surviving spouses will apply for benefits and that all will be granted.  Based on these assumptions, an estimated 5,329 survivors will receive benefits in 2018.  The most common conditions associated with a surviving spouse receiving DIC in 2018 would be liver cancer (884), adult </w:t>
      </w:r>
      <w:proofErr w:type="spellStart"/>
      <w:r w:rsidRPr="006F5386">
        <w:rPr>
          <w:rFonts w:ascii="Arial" w:hAnsi="Arial" w:cs="Arial"/>
          <w:sz w:val="24"/>
          <w:szCs w:val="24"/>
        </w:rPr>
        <w:t>leukemias</w:t>
      </w:r>
      <w:proofErr w:type="spellEnd"/>
      <w:r w:rsidRPr="006F5386">
        <w:rPr>
          <w:rFonts w:ascii="Arial" w:hAnsi="Arial" w:cs="Arial"/>
          <w:sz w:val="24"/>
          <w:szCs w:val="24"/>
        </w:rPr>
        <w:t xml:space="preserve"> (830), and bladder cancer (818).</w:t>
      </w:r>
    </w:p>
    <w:p w14:paraId="4E43E40D" w14:textId="77777777" w:rsidR="006F5386" w:rsidRPr="006F5386" w:rsidRDefault="006F5386" w:rsidP="006F5386">
      <w:pPr>
        <w:rPr>
          <w:rFonts w:ascii="Arial" w:hAnsi="Arial" w:cs="Arial"/>
        </w:rPr>
      </w:pPr>
    </w:p>
    <w:p w14:paraId="1D909F11" w14:textId="77777777" w:rsidR="006F5386" w:rsidRPr="006F5386" w:rsidRDefault="006F5386" w:rsidP="006F5386">
      <w:pPr>
        <w:rPr>
          <w:rFonts w:ascii="Arial" w:hAnsi="Arial" w:cs="Arial"/>
        </w:rPr>
      </w:pPr>
      <w:r w:rsidRPr="006F5386">
        <w:rPr>
          <w:rFonts w:ascii="Arial" w:hAnsi="Arial" w:cs="Arial"/>
        </w:rPr>
        <w:t>Survivor accessions in the out-years are based on the estimated deaths of Veterans receiving compensation for one of these conditions.  The estimated Veteran deaths are based on the condition-specific mortality rates described above.  Similarly, a 50 percent marriage rate, 90 percent application rate, and 100 percent grant rate was applied to calculate survivor accessions. For purposes of this cost estimate, survivors are assumed to access the rolls at the beginning of the year following the Veteran’s death.  Survivor deaths were calculated by applying general population mortality rates from the SSA and used to project survivor caseload in the out-years.</w:t>
      </w:r>
    </w:p>
    <w:p w14:paraId="50330892" w14:textId="77777777" w:rsidR="006F5386" w:rsidRPr="006F5386" w:rsidRDefault="006F5386" w:rsidP="006F5386">
      <w:pPr>
        <w:rPr>
          <w:rFonts w:ascii="Arial" w:hAnsi="Arial" w:cs="Arial"/>
        </w:rPr>
      </w:pPr>
    </w:p>
    <w:p w14:paraId="497080E1" w14:textId="77777777" w:rsidR="006F5386" w:rsidRPr="006F5386" w:rsidRDefault="006F5386" w:rsidP="006F5386">
      <w:pPr>
        <w:rPr>
          <w:rFonts w:ascii="Arial" w:hAnsi="Arial" w:cs="Arial"/>
          <w:u w:val="single"/>
        </w:rPr>
      </w:pPr>
      <w:r w:rsidRPr="006F5386">
        <w:rPr>
          <w:rFonts w:ascii="Arial" w:hAnsi="Arial" w:cs="Arial"/>
          <w:u w:val="single"/>
        </w:rPr>
        <w:t>Survivor Costs</w:t>
      </w:r>
    </w:p>
    <w:p w14:paraId="7C0D202F" w14:textId="77777777" w:rsidR="006F5386" w:rsidRPr="006F5386" w:rsidRDefault="006F5386" w:rsidP="006F5386">
      <w:pPr>
        <w:pStyle w:val="ListParagraph"/>
        <w:ind w:left="0"/>
        <w:rPr>
          <w:rFonts w:ascii="Arial" w:hAnsi="Arial" w:cs="Arial"/>
          <w:sz w:val="24"/>
          <w:szCs w:val="24"/>
        </w:rPr>
      </w:pPr>
      <w:r w:rsidRPr="006F5386">
        <w:rPr>
          <w:rFonts w:ascii="Arial" w:hAnsi="Arial" w:cs="Arial"/>
          <w:sz w:val="24"/>
          <w:szCs w:val="24"/>
        </w:rPr>
        <w:t>Average payments for survivors receiving DIC are based on the 2017 MSR Budget.  This average ($17,675 annually in FY 2018) was applied to the estimated caseload to calculate obligations.  COLA’s from the 2017 MSR Budget were applied to estimate average costs in the out-years.  Survivor caseload and costs are shown in the table below.</w:t>
      </w:r>
    </w:p>
    <w:p w14:paraId="1E98B339" w14:textId="77777777" w:rsidR="006F5386" w:rsidRPr="006F5386" w:rsidRDefault="006F5386" w:rsidP="006F5386">
      <w:pPr>
        <w:pStyle w:val="ListParagraph"/>
        <w:ind w:left="0"/>
        <w:rPr>
          <w:rFonts w:ascii="Arial" w:hAnsi="Arial" w:cs="Arial"/>
          <w:sz w:val="24"/>
          <w:szCs w:val="24"/>
        </w:rPr>
      </w:pPr>
    </w:p>
    <w:tbl>
      <w:tblPr>
        <w:tblW w:w="4475" w:type="dxa"/>
        <w:jc w:val="center"/>
        <w:tblLook w:val="04A0" w:firstRow="1" w:lastRow="0" w:firstColumn="1" w:lastColumn="0" w:noHBand="0" w:noVBand="1"/>
      </w:tblPr>
      <w:tblGrid>
        <w:gridCol w:w="1728"/>
        <w:gridCol w:w="1231"/>
        <w:gridCol w:w="1431"/>
        <w:gridCol w:w="85"/>
      </w:tblGrid>
      <w:tr w:rsidR="006F5386" w:rsidRPr="006F5386" w14:paraId="684A2AE6" w14:textId="77777777" w:rsidTr="00E73F0F">
        <w:trPr>
          <w:gridAfter w:val="1"/>
          <w:wAfter w:w="85" w:type="dxa"/>
          <w:trHeight w:val="315"/>
          <w:jc w:val="center"/>
        </w:trPr>
        <w:tc>
          <w:tcPr>
            <w:tcW w:w="439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2046D4" w14:textId="77777777" w:rsidR="006F5386" w:rsidRPr="006F5386" w:rsidRDefault="006F5386" w:rsidP="00E73F0F">
            <w:pPr>
              <w:jc w:val="center"/>
              <w:rPr>
                <w:rFonts w:ascii="Arial" w:hAnsi="Arial" w:cs="Arial"/>
                <w:color w:val="000000"/>
              </w:rPr>
            </w:pPr>
            <w:r w:rsidRPr="006F5386">
              <w:rPr>
                <w:rFonts w:ascii="Arial" w:hAnsi="Arial" w:cs="Arial"/>
                <w:color w:val="000000"/>
              </w:rPr>
              <w:t>Survivors</w:t>
            </w:r>
          </w:p>
        </w:tc>
      </w:tr>
      <w:tr w:rsidR="006F5386" w:rsidRPr="006F5386" w14:paraId="02C653EC" w14:textId="77777777" w:rsidTr="00E73F0F">
        <w:trPr>
          <w:trHeight w:val="58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05CAB60"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FY</w:t>
            </w:r>
          </w:p>
        </w:tc>
        <w:tc>
          <w:tcPr>
            <w:tcW w:w="1231" w:type="dxa"/>
            <w:tcBorders>
              <w:top w:val="nil"/>
              <w:left w:val="nil"/>
              <w:bottom w:val="single" w:sz="8" w:space="0" w:color="auto"/>
              <w:right w:val="single" w:sz="8" w:space="0" w:color="auto"/>
            </w:tcBorders>
            <w:shd w:val="clear" w:color="auto" w:fill="auto"/>
            <w:noWrap/>
            <w:vAlign w:val="center"/>
            <w:hideMark/>
          </w:tcPr>
          <w:p w14:paraId="7E2731FA"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Caseload</w:t>
            </w:r>
          </w:p>
        </w:tc>
        <w:tc>
          <w:tcPr>
            <w:tcW w:w="1516" w:type="dxa"/>
            <w:gridSpan w:val="2"/>
            <w:tcBorders>
              <w:top w:val="nil"/>
              <w:left w:val="nil"/>
              <w:bottom w:val="single" w:sz="8" w:space="0" w:color="auto"/>
              <w:right w:val="single" w:sz="8" w:space="0" w:color="auto"/>
            </w:tcBorders>
            <w:shd w:val="clear" w:color="auto" w:fill="auto"/>
            <w:vAlign w:val="center"/>
            <w:hideMark/>
          </w:tcPr>
          <w:p w14:paraId="40B53530"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Obligations</w:t>
            </w:r>
            <w:r w:rsidRPr="006F5386">
              <w:rPr>
                <w:rFonts w:ascii="Arial" w:hAnsi="Arial" w:cs="Arial"/>
                <w:color w:val="000000"/>
              </w:rPr>
              <w:br/>
              <w:t>(in 000's)</w:t>
            </w:r>
          </w:p>
        </w:tc>
      </w:tr>
      <w:tr w:rsidR="006F5386" w:rsidRPr="006F5386" w14:paraId="28D16D99" w14:textId="77777777" w:rsidTr="00E73F0F">
        <w:trPr>
          <w:trHeight w:val="31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D8E4447"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2018</w:t>
            </w:r>
          </w:p>
        </w:tc>
        <w:tc>
          <w:tcPr>
            <w:tcW w:w="1231" w:type="dxa"/>
            <w:tcBorders>
              <w:top w:val="nil"/>
              <w:left w:val="nil"/>
              <w:bottom w:val="single" w:sz="8" w:space="0" w:color="auto"/>
              <w:right w:val="single" w:sz="8" w:space="0" w:color="auto"/>
            </w:tcBorders>
            <w:shd w:val="clear" w:color="auto" w:fill="auto"/>
            <w:noWrap/>
            <w:vAlign w:val="center"/>
            <w:hideMark/>
          </w:tcPr>
          <w:p w14:paraId="25DE0C79"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5,329</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52913CAC" w14:textId="77777777" w:rsidR="006F5386" w:rsidRPr="006F5386" w:rsidRDefault="006F5386" w:rsidP="00E73F0F">
            <w:pPr>
              <w:ind w:firstLine="8"/>
              <w:jc w:val="right"/>
              <w:rPr>
                <w:rFonts w:ascii="Arial" w:hAnsi="Arial" w:cs="Arial"/>
                <w:color w:val="000000"/>
              </w:rPr>
            </w:pPr>
            <w:r w:rsidRPr="006F5386">
              <w:rPr>
                <w:rFonts w:ascii="Arial" w:hAnsi="Arial" w:cs="Arial"/>
                <w:color w:val="000000"/>
              </w:rPr>
              <w:t xml:space="preserve">$94,197 </w:t>
            </w:r>
          </w:p>
        </w:tc>
      </w:tr>
      <w:tr w:rsidR="006F5386" w:rsidRPr="006F5386" w14:paraId="227170BC" w14:textId="77777777" w:rsidTr="00E73F0F">
        <w:trPr>
          <w:trHeight w:val="31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05665BA1"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2019</w:t>
            </w:r>
          </w:p>
        </w:tc>
        <w:tc>
          <w:tcPr>
            <w:tcW w:w="1231" w:type="dxa"/>
            <w:tcBorders>
              <w:top w:val="nil"/>
              <w:left w:val="nil"/>
              <w:bottom w:val="single" w:sz="8" w:space="0" w:color="auto"/>
              <w:right w:val="single" w:sz="8" w:space="0" w:color="auto"/>
            </w:tcBorders>
            <w:shd w:val="clear" w:color="auto" w:fill="auto"/>
            <w:noWrap/>
            <w:vAlign w:val="center"/>
            <w:hideMark/>
          </w:tcPr>
          <w:p w14:paraId="42D5E92F"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5,563</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235F84AC" w14:textId="77777777" w:rsidR="006F5386" w:rsidRPr="006F5386" w:rsidRDefault="006F5386" w:rsidP="00E73F0F">
            <w:pPr>
              <w:ind w:firstLine="8"/>
              <w:jc w:val="right"/>
              <w:rPr>
                <w:rFonts w:ascii="Arial" w:hAnsi="Arial" w:cs="Arial"/>
                <w:color w:val="000000"/>
              </w:rPr>
            </w:pPr>
            <w:r w:rsidRPr="006F5386">
              <w:rPr>
                <w:rFonts w:ascii="Arial" w:hAnsi="Arial" w:cs="Arial"/>
                <w:color w:val="000000"/>
              </w:rPr>
              <w:t xml:space="preserve">$101,274 </w:t>
            </w:r>
          </w:p>
        </w:tc>
      </w:tr>
      <w:tr w:rsidR="006F5386" w:rsidRPr="006F5386" w14:paraId="2131EEEE" w14:textId="77777777" w:rsidTr="00E73F0F">
        <w:trPr>
          <w:trHeight w:val="31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4FEA340"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2020</w:t>
            </w:r>
          </w:p>
        </w:tc>
        <w:tc>
          <w:tcPr>
            <w:tcW w:w="1231" w:type="dxa"/>
            <w:tcBorders>
              <w:top w:val="nil"/>
              <w:left w:val="nil"/>
              <w:bottom w:val="single" w:sz="8" w:space="0" w:color="auto"/>
              <w:right w:val="single" w:sz="8" w:space="0" w:color="auto"/>
            </w:tcBorders>
            <w:shd w:val="clear" w:color="auto" w:fill="auto"/>
            <w:noWrap/>
            <w:vAlign w:val="center"/>
            <w:hideMark/>
          </w:tcPr>
          <w:p w14:paraId="67C9CEFA"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5,806</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4416290F" w14:textId="77777777" w:rsidR="006F5386" w:rsidRPr="006F5386" w:rsidRDefault="006F5386" w:rsidP="00E73F0F">
            <w:pPr>
              <w:ind w:firstLine="8"/>
              <w:jc w:val="right"/>
              <w:rPr>
                <w:rFonts w:ascii="Arial" w:hAnsi="Arial" w:cs="Arial"/>
                <w:color w:val="000000"/>
              </w:rPr>
            </w:pPr>
            <w:r w:rsidRPr="006F5386">
              <w:rPr>
                <w:rFonts w:ascii="Arial" w:hAnsi="Arial" w:cs="Arial"/>
                <w:color w:val="000000"/>
              </w:rPr>
              <w:t xml:space="preserve">$108,891 </w:t>
            </w:r>
          </w:p>
        </w:tc>
      </w:tr>
      <w:tr w:rsidR="006F5386" w:rsidRPr="006F5386" w14:paraId="66E83877" w14:textId="77777777" w:rsidTr="00E73F0F">
        <w:trPr>
          <w:trHeight w:val="31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13A7E912"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2021</w:t>
            </w:r>
          </w:p>
        </w:tc>
        <w:tc>
          <w:tcPr>
            <w:tcW w:w="1231" w:type="dxa"/>
            <w:tcBorders>
              <w:top w:val="nil"/>
              <w:left w:val="nil"/>
              <w:bottom w:val="single" w:sz="8" w:space="0" w:color="auto"/>
              <w:right w:val="single" w:sz="8" w:space="0" w:color="auto"/>
            </w:tcBorders>
            <w:shd w:val="clear" w:color="auto" w:fill="auto"/>
            <w:noWrap/>
            <w:vAlign w:val="center"/>
            <w:hideMark/>
          </w:tcPr>
          <w:p w14:paraId="2BA50B64"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6,056</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75B2C97A" w14:textId="77777777" w:rsidR="006F5386" w:rsidRPr="006F5386" w:rsidRDefault="006F5386" w:rsidP="00E73F0F">
            <w:pPr>
              <w:ind w:firstLine="8"/>
              <w:jc w:val="right"/>
              <w:rPr>
                <w:rFonts w:ascii="Arial" w:hAnsi="Arial" w:cs="Arial"/>
                <w:color w:val="000000"/>
              </w:rPr>
            </w:pPr>
            <w:r w:rsidRPr="006F5386">
              <w:rPr>
                <w:rFonts w:ascii="Arial" w:hAnsi="Arial" w:cs="Arial"/>
                <w:color w:val="000000"/>
              </w:rPr>
              <w:t xml:space="preserve">$116,970 </w:t>
            </w:r>
          </w:p>
        </w:tc>
      </w:tr>
      <w:tr w:rsidR="006F5386" w:rsidRPr="006F5386" w14:paraId="5EFE7C8E" w14:textId="77777777" w:rsidTr="00E73F0F">
        <w:trPr>
          <w:trHeight w:val="31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75CB23D7"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2022</w:t>
            </w:r>
          </w:p>
        </w:tc>
        <w:tc>
          <w:tcPr>
            <w:tcW w:w="1231" w:type="dxa"/>
            <w:tcBorders>
              <w:top w:val="nil"/>
              <w:left w:val="nil"/>
              <w:bottom w:val="single" w:sz="8" w:space="0" w:color="auto"/>
              <w:right w:val="single" w:sz="8" w:space="0" w:color="auto"/>
            </w:tcBorders>
            <w:shd w:val="clear" w:color="auto" w:fill="auto"/>
            <w:noWrap/>
            <w:vAlign w:val="center"/>
            <w:hideMark/>
          </w:tcPr>
          <w:p w14:paraId="0D2ADD8E"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6,315</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40823A2C" w14:textId="77777777" w:rsidR="006F5386" w:rsidRPr="006F5386" w:rsidRDefault="006F5386" w:rsidP="00E73F0F">
            <w:pPr>
              <w:ind w:firstLine="8"/>
              <w:jc w:val="right"/>
              <w:rPr>
                <w:rFonts w:ascii="Arial" w:hAnsi="Arial" w:cs="Arial"/>
                <w:color w:val="000000"/>
              </w:rPr>
            </w:pPr>
            <w:r w:rsidRPr="006F5386">
              <w:rPr>
                <w:rFonts w:ascii="Arial" w:hAnsi="Arial" w:cs="Arial"/>
                <w:color w:val="000000"/>
              </w:rPr>
              <w:t xml:space="preserve">$125,637 </w:t>
            </w:r>
          </w:p>
        </w:tc>
      </w:tr>
      <w:tr w:rsidR="006F5386" w:rsidRPr="006F5386" w14:paraId="3E16382B" w14:textId="77777777" w:rsidTr="00E73F0F">
        <w:trPr>
          <w:trHeight w:val="315"/>
          <w:jc w:val="center"/>
        </w:trPr>
        <w:tc>
          <w:tcPr>
            <w:tcW w:w="1728" w:type="dxa"/>
            <w:tcBorders>
              <w:top w:val="nil"/>
              <w:left w:val="single" w:sz="8" w:space="0" w:color="auto"/>
              <w:bottom w:val="single" w:sz="8" w:space="0" w:color="auto"/>
              <w:right w:val="single" w:sz="8" w:space="0" w:color="auto"/>
            </w:tcBorders>
            <w:shd w:val="clear" w:color="auto" w:fill="auto"/>
            <w:noWrap/>
            <w:vAlign w:val="center"/>
            <w:hideMark/>
          </w:tcPr>
          <w:p w14:paraId="63FD33DE" w14:textId="77777777" w:rsidR="006F5386" w:rsidRPr="006F5386" w:rsidRDefault="006F5386" w:rsidP="00E73F0F">
            <w:pPr>
              <w:ind w:firstLine="8"/>
              <w:jc w:val="center"/>
              <w:rPr>
                <w:rFonts w:ascii="Arial" w:hAnsi="Arial" w:cs="Arial"/>
                <w:b/>
                <w:color w:val="000000"/>
              </w:rPr>
            </w:pPr>
            <w:r w:rsidRPr="006F5386">
              <w:rPr>
                <w:rFonts w:ascii="Arial" w:hAnsi="Arial" w:cs="Arial"/>
                <w:b/>
                <w:color w:val="000000"/>
              </w:rPr>
              <w:t>5-year Total</w:t>
            </w:r>
          </w:p>
        </w:tc>
        <w:tc>
          <w:tcPr>
            <w:tcW w:w="1231" w:type="dxa"/>
            <w:tcBorders>
              <w:top w:val="nil"/>
              <w:left w:val="nil"/>
              <w:bottom w:val="single" w:sz="8" w:space="0" w:color="auto"/>
              <w:right w:val="single" w:sz="8" w:space="0" w:color="auto"/>
            </w:tcBorders>
            <w:shd w:val="clear" w:color="auto" w:fill="auto"/>
            <w:noWrap/>
            <w:vAlign w:val="center"/>
            <w:hideMark/>
          </w:tcPr>
          <w:p w14:paraId="03BBB527" w14:textId="77777777" w:rsidR="006F5386" w:rsidRPr="006F5386" w:rsidRDefault="006F5386" w:rsidP="00E73F0F">
            <w:pPr>
              <w:ind w:firstLine="8"/>
              <w:jc w:val="center"/>
              <w:rPr>
                <w:rFonts w:ascii="Arial" w:hAnsi="Arial" w:cs="Arial"/>
                <w:color w:val="000000"/>
              </w:rPr>
            </w:pPr>
            <w:r w:rsidRPr="006F5386">
              <w:rPr>
                <w:rFonts w:ascii="Arial" w:hAnsi="Arial" w:cs="Arial"/>
                <w:color w:val="000000"/>
              </w:rPr>
              <w:t> </w:t>
            </w:r>
          </w:p>
        </w:tc>
        <w:tc>
          <w:tcPr>
            <w:tcW w:w="1516" w:type="dxa"/>
            <w:gridSpan w:val="2"/>
            <w:tcBorders>
              <w:top w:val="nil"/>
              <w:left w:val="nil"/>
              <w:bottom w:val="single" w:sz="8" w:space="0" w:color="auto"/>
              <w:right w:val="single" w:sz="8" w:space="0" w:color="auto"/>
            </w:tcBorders>
            <w:shd w:val="clear" w:color="auto" w:fill="auto"/>
            <w:noWrap/>
            <w:vAlign w:val="center"/>
            <w:hideMark/>
          </w:tcPr>
          <w:p w14:paraId="5321430D" w14:textId="77777777" w:rsidR="006F5386" w:rsidRPr="006F5386" w:rsidRDefault="006F5386" w:rsidP="00E73F0F">
            <w:pPr>
              <w:ind w:firstLine="8"/>
              <w:jc w:val="right"/>
              <w:rPr>
                <w:rFonts w:ascii="Arial" w:hAnsi="Arial" w:cs="Arial"/>
                <w:b/>
                <w:color w:val="000000"/>
              </w:rPr>
            </w:pPr>
            <w:r w:rsidRPr="006F5386">
              <w:rPr>
                <w:rFonts w:ascii="Arial" w:hAnsi="Arial" w:cs="Arial"/>
                <w:b/>
                <w:color w:val="000000"/>
              </w:rPr>
              <w:t>$</w:t>
            </w:r>
            <w:r w:rsidRPr="006F5386">
              <w:rPr>
                <w:rFonts w:ascii="Arial" w:hAnsi="Arial" w:cs="Arial"/>
                <w:b/>
                <w:bCs/>
                <w:color w:val="000000"/>
              </w:rPr>
              <w:t>546,970</w:t>
            </w:r>
            <w:r w:rsidRPr="006F5386">
              <w:rPr>
                <w:rFonts w:ascii="Arial" w:hAnsi="Arial" w:cs="Arial"/>
                <w:b/>
                <w:color w:val="000000"/>
              </w:rPr>
              <w:t xml:space="preserve"> </w:t>
            </w:r>
          </w:p>
        </w:tc>
      </w:tr>
    </w:tbl>
    <w:p w14:paraId="7575996B" w14:textId="77777777" w:rsidR="006F5386" w:rsidRPr="006F5386" w:rsidRDefault="006F5386" w:rsidP="006F5386">
      <w:pPr>
        <w:pStyle w:val="ListParagraph"/>
        <w:tabs>
          <w:tab w:val="left" w:pos="630"/>
        </w:tabs>
        <w:ind w:left="0"/>
        <w:rPr>
          <w:rFonts w:ascii="Arial" w:hAnsi="Arial" w:cs="Arial"/>
          <w:sz w:val="24"/>
          <w:szCs w:val="24"/>
        </w:rPr>
      </w:pPr>
    </w:p>
    <w:p w14:paraId="3B8B88DF" w14:textId="77777777" w:rsidR="006F5386" w:rsidRPr="006F5386" w:rsidRDefault="006F5386" w:rsidP="006F5386">
      <w:pPr>
        <w:rPr>
          <w:rFonts w:ascii="Arial" w:eastAsia="Arial Unicode MS" w:hAnsi="Arial" w:cs="Arial"/>
          <w:u w:val="single"/>
        </w:rPr>
      </w:pPr>
    </w:p>
    <w:p w14:paraId="730E952C" w14:textId="77777777" w:rsidR="006F5386" w:rsidRPr="006F5386" w:rsidRDefault="006F5386" w:rsidP="006F5386">
      <w:pPr>
        <w:rPr>
          <w:rFonts w:ascii="Arial" w:eastAsia="Arial Unicode MS" w:hAnsi="Arial" w:cs="Arial"/>
          <w:u w:val="single"/>
        </w:rPr>
      </w:pPr>
      <w:r w:rsidRPr="006F5386">
        <w:rPr>
          <w:rFonts w:ascii="Arial" w:eastAsia="Arial Unicode MS" w:hAnsi="Arial" w:cs="Arial"/>
          <w:u w:val="single"/>
        </w:rPr>
        <w:t>General Operating Expense (GOE) Methodology</w:t>
      </w:r>
    </w:p>
    <w:p w14:paraId="117DA1BD" w14:textId="77777777" w:rsidR="006F5386" w:rsidRPr="006F5386" w:rsidRDefault="006F5386" w:rsidP="006F5386">
      <w:pPr>
        <w:rPr>
          <w:rFonts w:ascii="Arial" w:hAnsi="Arial" w:cs="Arial"/>
        </w:rPr>
      </w:pPr>
      <w:r w:rsidRPr="006F5386">
        <w:rPr>
          <w:rFonts w:ascii="Arial" w:hAnsi="Arial" w:cs="Arial"/>
        </w:rPr>
        <w:t xml:space="preserve">GOE costs were developed using 174 FTE to include 78 Veterans Service Representatives (VSR) and 70 Rating Veterans Service Representative (RVSR) starting at the GS-7 and GS-9 levels respectively to process the estimated increase in claims.  In addition, 10 GS-5 Claims Assistants, 5 GS-12 Assistant Coaches, and 11 GS-13 Coaches were included to support newly hired claims processors.  The FTE requirement decreases in the out years to reflect the estimated reduction in workload. </w:t>
      </w:r>
    </w:p>
    <w:p w14:paraId="1BB280BE" w14:textId="77777777" w:rsidR="006F5386" w:rsidRPr="006F5386" w:rsidRDefault="006F5386" w:rsidP="006F5386">
      <w:pPr>
        <w:rPr>
          <w:rFonts w:ascii="Arial" w:hAnsi="Arial" w:cs="Arial"/>
        </w:rPr>
      </w:pPr>
    </w:p>
    <w:p w14:paraId="2A01AB87" w14:textId="77777777" w:rsidR="006F5386" w:rsidRPr="006F5386" w:rsidRDefault="006F5386" w:rsidP="006F5386">
      <w:pPr>
        <w:rPr>
          <w:rFonts w:ascii="Arial" w:hAnsi="Arial" w:cs="Arial"/>
        </w:rPr>
      </w:pPr>
      <w:r w:rsidRPr="006F5386">
        <w:rPr>
          <w:rFonts w:ascii="Arial" w:hAnsi="Arial" w:cs="Arial"/>
        </w:rPr>
        <w:t>In addition to the GS-levels above, all FTE costs were developed using the average VBA locality pay. Standard rates were applied for benefits, rent, supplies, and equipment.  Training and travel costs were estimated based on 6 weeks for VSRs and RVSRs and two weeks for Coaches and Assistant Coaches for the first year only.  Travel costs were determined using a standard travel rate.  All other non-pay costs were developed based upon program requirements.  The IT estimate is provided on behalf of OI&amp;T using standard equipment, installation, and maintenance costs.</w:t>
      </w:r>
    </w:p>
    <w:p w14:paraId="1D1E1DDB" w14:textId="77777777" w:rsidR="006F5386" w:rsidRPr="006F5386" w:rsidRDefault="006F5386" w:rsidP="006F5386">
      <w:pPr>
        <w:rPr>
          <w:rFonts w:ascii="Arial" w:hAnsi="Arial" w:cs="Arial"/>
          <w:b/>
          <w:u w:val="single"/>
        </w:rPr>
      </w:pPr>
      <w:r w:rsidRPr="006F5386">
        <w:rPr>
          <w:rFonts w:ascii="Arial" w:hAnsi="Arial" w:cs="Arial"/>
        </w:rPr>
        <w:t xml:space="preserve">  </w:t>
      </w:r>
    </w:p>
    <w:p w14:paraId="276C1CCC" w14:textId="77777777" w:rsidR="006F5386" w:rsidRPr="006F5386" w:rsidRDefault="006F5386" w:rsidP="006F5386">
      <w:pPr>
        <w:rPr>
          <w:rFonts w:ascii="Arial" w:hAnsi="Arial" w:cs="Arial"/>
        </w:rPr>
      </w:pPr>
      <w:r w:rsidRPr="006F5386">
        <w:rPr>
          <w:rFonts w:ascii="Arial" w:hAnsi="Arial" w:cs="Arial"/>
          <w:b/>
        </w:rPr>
        <w:t xml:space="preserve">Submitted by:  </w:t>
      </w:r>
      <w:r w:rsidRPr="006F5386">
        <w:rPr>
          <w:rFonts w:ascii="Arial" w:hAnsi="Arial" w:cs="Arial"/>
        </w:rPr>
        <w:t>Brad Dutton and Charles Tapp, ORM Benefits Budget Division (24), Veterans Benefits Administration, Department of Veterans Affairs, Washington, DC</w:t>
      </w:r>
    </w:p>
    <w:p w14:paraId="79998776" w14:textId="77777777" w:rsidR="006F5386" w:rsidRPr="006F5386" w:rsidRDefault="006F5386" w:rsidP="006F5386">
      <w:pPr>
        <w:rPr>
          <w:rFonts w:ascii="Arial" w:hAnsi="Arial" w:cs="Arial"/>
        </w:rPr>
      </w:pPr>
      <w:r w:rsidRPr="006F5386">
        <w:rPr>
          <w:rFonts w:ascii="Arial" w:hAnsi="Arial" w:cs="Arial"/>
        </w:rPr>
        <w:t xml:space="preserve">August 15, 2016. </w:t>
      </w:r>
    </w:p>
    <w:p w14:paraId="11EEB367" w14:textId="77777777" w:rsidR="006F5386" w:rsidRPr="006F5386" w:rsidRDefault="006F5386" w:rsidP="006F5386">
      <w:pPr>
        <w:rPr>
          <w:rFonts w:ascii="Arial" w:hAnsi="Arial" w:cs="Arial"/>
          <w:noProof/>
        </w:rPr>
      </w:pPr>
    </w:p>
    <w:p w14:paraId="0D6541E0" w14:textId="77777777" w:rsidR="006F5386" w:rsidRPr="006F5386" w:rsidRDefault="006F5386" w:rsidP="006F5386">
      <w:pPr>
        <w:rPr>
          <w:rFonts w:ascii="Arial" w:hAnsi="Arial" w:cs="Arial"/>
          <w:noProof/>
        </w:rPr>
      </w:pPr>
    </w:p>
    <w:p w14:paraId="009CDE7C" w14:textId="77777777" w:rsidR="006F5386" w:rsidRDefault="006F5386" w:rsidP="006F5386">
      <w:pPr>
        <w:rPr>
          <w:rFonts w:ascii="Arial" w:hAnsi="Arial" w:cs="Arial"/>
          <w:b/>
          <w:bCs/>
          <w:u w:val="single"/>
        </w:rPr>
      </w:pPr>
    </w:p>
    <w:p w14:paraId="1D0FDFB0" w14:textId="77777777" w:rsidR="006F5386" w:rsidRDefault="006F5386" w:rsidP="006F5386">
      <w:pPr>
        <w:rPr>
          <w:rFonts w:ascii="Arial" w:hAnsi="Arial" w:cs="Arial"/>
          <w:b/>
          <w:bCs/>
          <w:u w:val="single"/>
        </w:rPr>
      </w:pPr>
    </w:p>
    <w:p w14:paraId="050535F7" w14:textId="77777777" w:rsidR="006F5386" w:rsidRDefault="006F5386" w:rsidP="006F5386">
      <w:pPr>
        <w:rPr>
          <w:rFonts w:ascii="Arial" w:hAnsi="Arial" w:cs="Arial"/>
          <w:b/>
          <w:bCs/>
          <w:u w:val="single"/>
        </w:rPr>
      </w:pPr>
    </w:p>
    <w:p w14:paraId="33F3E73C" w14:textId="77777777" w:rsidR="006F5386" w:rsidRDefault="006F5386" w:rsidP="006F5386">
      <w:pPr>
        <w:rPr>
          <w:rFonts w:ascii="Arial" w:hAnsi="Arial" w:cs="Arial"/>
          <w:b/>
          <w:bCs/>
          <w:u w:val="single"/>
        </w:rPr>
      </w:pPr>
    </w:p>
    <w:p w14:paraId="2EFAC838" w14:textId="77777777" w:rsidR="006F5386" w:rsidRDefault="006F5386" w:rsidP="006F5386">
      <w:pPr>
        <w:rPr>
          <w:rFonts w:ascii="Arial" w:hAnsi="Arial" w:cs="Arial"/>
          <w:b/>
          <w:bCs/>
          <w:u w:val="single"/>
        </w:rPr>
      </w:pPr>
    </w:p>
    <w:p w14:paraId="65DFDF40" w14:textId="77777777" w:rsidR="006F5386" w:rsidRDefault="006F5386" w:rsidP="006F5386">
      <w:pPr>
        <w:rPr>
          <w:rFonts w:ascii="Arial" w:hAnsi="Arial" w:cs="Arial"/>
          <w:b/>
          <w:bCs/>
          <w:u w:val="single"/>
        </w:rPr>
      </w:pPr>
    </w:p>
    <w:p w14:paraId="588486B5" w14:textId="77777777" w:rsidR="006F5386" w:rsidRDefault="006F5386" w:rsidP="006F5386">
      <w:pPr>
        <w:rPr>
          <w:rFonts w:ascii="Arial" w:hAnsi="Arial" w:cs="Arial"/>
          <w:b/>
          <w:bCs/>
          <w:u w:val="single"/>
        </w:rPr>
      </w:pPr>
    </w:p>
    <w:p w14:paraId="6F30B7DA" w14:textId="77777777" w:rsidR="006F5386" w:rsidRDefault="006F5386" w:rsidP="006F5386">
      <w:pPr>
        <w:rPr>
          <w:rFonts w:ascii="Arial" w:hAnsi="Arial" w:cs="Arial"/>
          <w:b/>
          <w:bCs/>
          <w:u w:val="single"/>
        </w:rPr>
      </w:pPr>
    </w:p>
    <w:p w14:paraId="130A1D71" w14:textId="77777777" w:rsidR="006F5386" w:rsidRDefault="006F5386" w:rsidP="006F5386">
      <w:pPr>
        <w:rPr>
          <w:rFonts w:ascii="Arial" w:hAnsi="Arial" w:cs="Arial"/>
          <w:b/>
          <w:bCs/>
          <w:u w:val="single"/>
        </w:rPr>
      </w:pPr>
    </w:p>
    <w:p w14:paraId="061842C2" w14:textId="77777777" w:rsidR="006F5386" w:rsidRPr="006F5386" w:rsidRDefault="006F5386" w:rsidP="006F5386">
      <w:pPr>
        <w:rPr>
          <w:rFonts w:ascii="Arial" w:hAnsi="Arial" w:cs="Arial"/>
          <w:b/>
          <w:bCs/>
          <w:u w:val="single"/>
        </w:rPr>
      </w:pPr>
      <w:r w:rsidRPr="006F5386">
        <w:rPr>
          <w:rFonts w:ascii="Arial" w:hAnsi="Arial" w:cs="Arial"/>
          <w:b/>
          <w:bCs/>
          <w:u w:val="single"/>
        </w:rPr>
        <w:t>Camp Lejeune Reservist Healthcare RIA VHA Review</w:t>
      </w:r>
    </w:p>
    <w:p w14:paraId="6BC5C39F" w14:textId="77777777" w:rsidR="006F5386" w:rsidRPr="006F5386" w:rsidRDefault="006F5386" w:rsidP="006F5386">
      <w:pPr>
        <w:rPr>
          <w:rFonts w:ascii="Arial" w:hAnsi="Arial" w:cs="Arial"/>
        </w:rPr>
      </w:pPr>
      <w:r w:rsidRPr="006F5386">
        <w:rPr>
          <w:rFonts w:ascii="Arial" w:hAnsi="Arial" w:cs="Arial"/>
        </w:rPr>
        <w:t> </w:t>
      </w:r>
    </w:p>
    <w:p w14:paraId="1CEE9EFA" w14:textId="06855FD3" w:rsidR="00AF6138" w:rsidRDefault="006F5386" w:rsidP="006F5386">
      <w:pPr>
        <w:rPr>
          <w:rFonts w:ascii="Arial" w:hAnsi="Arial" w:cs="Arial"/>
        </w:rPr>
      </w:pPr>
      <w:r w:rsidRPr="006F5386">
        <w:rPr>
          <w:rFonts w:ascii="Arial" w:hAnsi="Arial" w:cs="Arial"/>
        </w:rPr>
        <w:t xml:space="preserve">At VBA’s request, VHA has reviewed the RIA pertaining to AP66.  The specific analysis concerned extending healthcare enrollment eligibility and coverage to a cohort of reservists who develop specific cancers and other conditions, which are presumed to be caused by exposure while they were stationed at Camp Lejeune to contaminants in the ground water.  </w:t>
      </w:r>
      <w:r w:rsidR="00AF6138">
        <w:rPr>
          <w:rFonts w:ascii="Arial" w:hAnsi="Arial" w:cs="Arial"/>
        </w:rPr>
        <w:t xml:space="preserve">VA did not examine new healthcare costs associated with treatment of liver cancer in non-reservists, for which healthcare benefits were not previously provided under </w:t>
      </w:r>
      <w:r w:rsidR="00AF6138" w:rsidRPr="006F5386">
        <w:rPr>
          <w:rFonts w:ascii="Arial" w:hAnsi="Arial" w:cs="Arial"/>
        </w:rPr>
        <w:t>Public Law 112-154</w:t>
      </w:r>
      <w:r w:rsidR="00AF6138">
        <w:rPr>
          <w:rFonts w:ascii="Arial" w:hAnsi="Arial" w:cs="Arial"/>
        </w:rPr>
        <w:t xml:space="preserve"> and implementing regulations.  </w:t>
      </w:r>
      <w:r w:rsidR="00965F0E">
        <w:rPr>
          <w:rFonts w:ascii="Arial" w:hAnsi="Arial" w:cs="Arial"/>
        </w:rPr>
        <w:t xml:space="preserve">As VA develops more program data and becomes more cognizant of the actual use of healthcare benefits for Camp Lejeune Veterans, VA will make appropriate adjustments of </w:t>
      </w:r>
      <w:r w:rsidR="00AF6138">
        <w:rPr>
          <w:rFonts w:ascii="Arial" w:hAnsi="Arial" w:cs="Arial"/>
        </w:rPr>
        <w:t xml:space="preserve">these costs </w:t>
      </w:r>
      <w:r w:rsidR="00965F0E">
        <w:rPr>
          <w:rFonts w:ascii="Arial" w:hAnsi="Arial" w:cs="Arial"/>
        </w:rPr>
        <w:t xml:space="preserve">in the </w:t>
      </w:r>
      <w:r w:rsidR="00AF6138">
        <w:rPr>
          <w:rFonts w:ascii="Arial" w:hAnsi="Arial" w:cs="Arial"/>
        </w:rPr>
        <w:t>final rule</w:t>
      </w:r>
      <w:r w:rsidR="00965F0E">
        <w:rPr>
          <w:rFonts w:ascii="Arial" w:hAnsi="Arial" w:cs="Arial"/>
        </w:rPr>
        <w:t xml:space="preserve"> analysis.  </w:t>
      </w:r>
      <w:r w:rsidR="00965F0E" w:rsidRPr="006F5386">
        <w:rPr>
          <w:rFonts w:ascii="Arial" w:hAnsi="Arial" w:cs="Arial"/>
        </w:rPr>
        <w:t xml:space="preserve">VA </w:t>
      </w:r>
      <w:r w:rsidR="00965F0E">
        <w:rPr>
          <w:rFonts w:ascii="Arial" w:hAnsi="Arial" w:cs="Arial"/>
        </w:rPr>
        <w:t xml:space="preserve">also welcomes public </w:t>
      </w:r>
      <w:r w:rsidR="00965F0E" w:rsidRPr="006F5386">
        <w:rPr>
          <w:rFonts w:ascii="Arial" w:hAnsi="Arial" w:cs="Arial"/>
        </w:rPr>
        <w:t>comment</w:t>
      </w:r>
      <w:r w:rsidR="00965F0E">
        <w:rPr>
          <w:rFonts w:ascii="Arial" w:hAnsi="Arial" w:cs="Arial"/>
        </w:rPr>
        <w:t xml:space="preserve">s </w:t>
      </w:r>
      <w:r w:rsidR="00AF6138">
        <w:rPr>
          <w:rFonts w:ascii="Arial" w:hAnsi="Arial" w:cs="Arial"/>
        </w:rPr>
        <w:t>that might help inform this analysis.</w:t>
      </w:r>
    </w:p>
    <w:p w14:paraId="0955AC2C" w14:textId="77777777" w:rsidR="00AF6138" w:rsidRDefault="00AF6138" w:rsidP="006F5386">
      <w:pPr>
        <w:rPr>
          <w:rFonts w:ascii="Arial" w:hAnsi="Arial" w:cs="Arial"/>
        </w:rPr>
      </w:pPr>
    </w:p>
    <w:p w14:paraId="36BAD52C" w14:textId="77777777" w:rsidR="006F5386" w:rsidRPr="006F5386" w:rsidRDefault="006F5386" w:rsidP="006F5386">
      <w:pPr>
        <w:rPr>
          <w:rFonts w:ascii="Arial" w:hAnsi="Arial" w:cs="Arial"/>
        </w:rPr>
      </w:pPr>
      <w:r w:rsidRPr="006F5386">
        <w:rPr>
          <w:rFonts w:ascii="Arial" w:hAnsi="Arial" w:cs="Arial"/>
        </w:rPr>
        <w:t>This analysis uses the projected reservist caseload from above.  Under the proposed policy, even those who do not opt to enroll with VHA will have their health treatment costs for the specified conditions covered.</w:t>
      </w:r>
    </w:p>
    <w:p w14:paraId="3890D3E0" w14:textId="77777777" w:rsidR="006F5386" w:rsidRPr="006F5386" w:rsidRDefault="006F5386" w:rsidP="006F5386">
      <w:pPr>
        <w:rPr>
          <w:rFonts w:ascii="Arial" w:hAnsi="Arial" w:cs="Arial"/>
        </w:rPr>
      </w:pPr>
    </w:p>
    <w:p w14:paraId="271CF884" w14:textId="77777777" w:rsidR="006F5386" w:rsidRPr="006F5386" w:rsidRDefault="006F5386" w:rsidP="006F5386">
      <w:pPr>
        <w:rPr>
          <w:rFonts w:ascii="Arial" w:hAnsi="Arial" w:cs="Arial"/>
          <w:b/>
          <w:bCs/>
        </w:rPr>
      </w:pPr>
      <w:r w:rsidRPr="006F5386">
        <w:rPr>
          <w:rFonts w:ascii="Arial" w:hAnsi="Arial" w:cs="Arial"/>
          <w:b/>
          <w:bCs/>
        </w:rPr>
        <w:t>VA’s Current Estimate of program costs for covering specific condition costs and enrollment in VHA for Reservists (reviewed):</w:t>
      </w:r>
    </w:p>
    <w:p w14:paraId="1D76A603" w14:textId="77777777" w:rsidR="006F5386" w:rsidRPr="006F5386" w:rsidRDefault="006F5386" w:rsidP="006F5386">
      <w:pPr>
        <w:rPr>
          <w:rFonts w:ascii="Arial" w:hAnsi="Arial" w:cs="Arial"/>
          <w:color w:val="1F497D"/>
        </w:rPr>
      </w:pPr>
    </w:p>
    <w:tbl>
      <w:tblPr>
        <w:tblpPr w:leftFromText="180" w:rightFromText="180" w:vertAnchor="text" w:tblpXSpec="center" w:tblpY="1"/>
        <w:tblOverlap w:val="never"/>
        <w:tblW w:w="4516" w:type="dxa"/>
        <w:tblCellMar>
          <w:left w:w="0" w:type="dxa"/>
          <w:right w:w="0" w:type="dxa"/>
        </w:tblCellMar>
        <w:tblLook w:val="04A0" w:firstRow="1" w:lastRow="0" w:firstColumn="1" w:lastColumn="0" w:noHBand="0" w:noVBand="1"/>
      </w:tblPr>
      <w:tblGrid>
        <w:gridCol w:w="1677"/>
        <w:gridCol w:w="1251"/>
        <w:gridCol w:w="1560"/>
        <w:gridCol w:w="8"/>
        <w:gridCol w:w="77"/>
      </w:tblGrid>
      <w:tr w:rsidR="006F5386" w:rsidRPr="006F5386" w14:paraId="6A43BF1B" w14:textId="77777777" w:rsidTr="00E73F0F">
        <w:trPr>
          <w:trHeight w:val="315"/>
        </w:trPr>
        <w:tc>
          <w:tcPr>
            <w:tcW w:w="4488" w:type="dxa"/>
            <w:gridSpan w:val="3"/>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hideMark/>
          </w:tcPr>
          <w:p w14:paraId="6BCB948F" w14:textId="77777777" w:rsidR="006F5386" w:rsidRPr="006F5386" w:rsidRDefault="006F5386" w:rsidP="00E73F0F">
            <w:pPr>
              <w:jc w:val="center"/>
              <w:rPr>
                <w:rFonts w:ascii="Arial" w:eastAsiaTheme="minorHAnsi" w:hAnsi="Arial" w:cs="Arial"/>
                <w:color w:val="000000"/>
              </w:rPr>
            </w:pPr>
            <w:r w:rsidRPr="006F5386">
              <w:rPr>
                <w:rFonts w:ascii="Arial" w:hAnsi="Arial" w:cs="Arial"/>
                <w:color w:val="000000"/>
              </w:rPr>
              <w:t>Reservists</w:t>
            </w:r>
          </w:p>
        </w:tc>
        <w:tc>
          <w:tcPr>
            <w:tcW w:w="20" w:type="dxa"/>
            <w:gridSpan w:val="2"/>
            <w:vAlign w:val="center"/>
            <w:hideMark/>
          </w:tcPr>
          <w:p w14:paraId="7C0F191F" w14:textId="77777777" w:rsidR="006F5386" w:rsidRPr="006F5386" w:rsidRDefault="006F5386" w:rsidP="00E73F0F">
            <w:pPr>
              <w:rPr>
                <w:rFonts w:ascii="Arial" w:eastAsiaTheme="minorHAnsi" w:hAnsi="Arial" w:cs="Arial"/>
              </w:rPr>
            </w:pPr>
            <w:r w:rsidRPr="006F5386">
              <w:rPr>
                <w:rFonts w:ascii="Arial" w:hAnsi="Arial" w:cs="Arial"/>
              </w:rPr>
              <w:t> </w:t>
            </w:r>
          </w:p>
        </w:tc>
      </w:tr>
      <w:tr w:rsidR="006F5386" w:rsidRPr="006F5386" w14:paraId="7E48E49C" w14:textId="77777777" w:rsidTr="00E73F0F">
        <w:trPr>
          <w:trHeight w:val="585"/>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0770F6" w14:textId="77777777" w:rsidR="006F5386" w:rsidRPr="006F5386" w:rsidRDefault="006F5386" w:rsidP="00E73F0F">
            <w:pPr>
              <w:ind w:hanging="29"/>
              <w:jc w:val="center"/>
              <w:rPr>
                <w:rFonts w:ascii="Arial" w:eastAsiaTheme="minorHAnsi" w:hAnsi="Arial" w:cs="Arial"/>
                <w:color w:val="000000"/>
              </w:rPr>
            </w:pPr>
            <w:r w:rsidRPr="006F5386">
              <w:rPr>
                <w:rFonts w:ascii="Arial" w:hAnsi="Arial" w:cs="Arial"/>
                <w:color w:val="000000"/>
              </w:rPr>
              <w:t>FY</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855466" w14:textId="77777777" w:rsidR="006F5386" w:rsidRPr="006F5386" w:rsidRDefault="006F5386" w:rsidP="00E73F0F">
            <w:pPr>
              <w:jc w:val="center"/>
              <w:rPr>
                <w:rFonts w:ascii="Arial" w:eastAsiaTheme="minorHAnsi" w:hAnsi="Arial" w:cs="Arial"/>
                <w:color w:val="000000"/>
              </w:rPr>
            </w:pPr>
            <w:r w:rsidRPr="006F5386">
              <w:rPr>
                <w:rFonts w:ascii="Arial" w:hAnsi="Arial" w:cs="Arial"/>
                <w:color w:val="000000"/>
              </w:rPr>
              <w:t>Caseload</w:t>
            </w:r>
          </w:p>
        </w:tc>
        <w:tc>
          <w:tcPr>
            <w:tcW w:w="15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3AE63" w14:textId="77777777" w:rsidR="006F5386" w:rsidRPr="006F5386" w:rsidRDefault="006F5386" w:rsidP="00E73F0F">
            <w:pPr>
              <w:jc w:val="center"/>
              <w:rPr>
                <w:rFonts w:ascii="Arial" w:eastAsiaTheme="minorHAnsi" w:hAnsi="Arial" w:cs="Arial"/>
                <w:color w:val="000000"/>
              </w:rPr>
            </w:pPr>
            <w:r w:rsidRPr="006F5386">
              <w:rPr>
                <w:rFonts w:ascii="Arial" w:hAnsi="Arial" w:cs="Arial"/>
                <w:color w:val="000000"/>
              </w:rPr>
              <w:t>Obligations</w:t>
            </w:r>
            <w:r w:rsidRPr="006F5386">
              <w:rPr>
                <w:rFonts w:ascii="Arial" w:hAnsi="Arial" w:cs="Arial"/>
                <w:color w:val="000000"/>
              </w:rPr>
              <w:br/>
              <w:t>(in 000's)</w:t>
            </w:r>
          </w:p>
        </w:tc>
        <w:tc>
          <w:tcPr>
            <w:tcW w:w="20" w:type="dxa"/>
            <w:vAlign w:val="center"/>
            <w:hideMark/>
          </w:tcPr>
          <w:p w14:paraId="7245E401" w14:textId="77777777" w:rsidR="006F5386" w:rsidRPr="006F5386" w:rsidRDefault="006F5386" w:rsidP="00E73F0F">
            <w:pPr>
              <w:rPr>
                <w:rFonts w:ascii="Arial" w:eastAsiaTheme="minorHAnsi" w:hAnsi="Arial" w:cs="Arial"/>
              </w:rPr>
            </w:pPr>
            <w:r w:rsidRPr="006F5386">
              <w:rPr>
                <w:rFonts w:ascii="Arial" w:hAnsi="Arial" w:cs="Arial"/>
              </w:rPr>
              <w:t> </w:t>
            </w:r>
          </w:p>
        </w:tc>
      </w:tr>
      <w:tr w:rsidR="006F5386" w:rsidRPr="006F5386" w14:paraId="32059457" w14:textId="77777777" w:rsidTr="00E73F0F">
        <w:trPr>
          <w:trHeight w:val="315"/>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772464" w14:textId="77777777" w:rsidR="006F5386" w:rsidRPr="006F5386" w:rsidRDefault="006F5386" w:rsidP="00E73F0F">
            <w:pPr>
              <w:ind w:hanging="29"/>
              <w:jc w:val="center"/>
              <w:rPr>
                <w:rFonts w:ascii="Arial" w:eastAsiaTheme="minorHAnsi" w:hAnsi="Arial" w:cs="Arial"/>
                <w:color w:val="000000"/>
              </w:rPr>
            </w:pPr>
            <w:r w:rsidRPr="006F5386">
              <w:rPr>
                <w:rFonts w:ascii="Arial" w:hAnsi="Arial" w:cs="Arial"/>
                <w:color w:val="000000"/>
              </w:rPr>
              <w:t>2018</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BBE392" w14:textId="77777777" w:rsidR="006F5386" w:rsidRPr="006F5386" w:rsidRDefault="006F5386" w:rsidP="00E73F0F">
            <w:pPr>
              <w:jc w:val="center"/>
              <w:rPr>
                <w:rFonts w:ascii="Arial" w:eastAsiaTheme="minorHAnsi" w:hAnsi="Arial" w:cs="Arial"/>
                <w:color w:val="000000"/>
              </w:rPr>
            </w:pPr>
            <w:r w:rsidRPr="006F5386">
              <w:rPr>
                <w:rFonts w:ascii="Arial" w:hAnsi="Arial" w:cs="Arial"/>
                <w:color w:val="000000"/>
              </w:rPr>
              <w:t>2,342</w:t>
            </w:r>
          </w:p>
        </w:tc>
        <w:tc>
          <w:tcPr>
            <w:tcW w:w="156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1650AD" w14:textId="77777777" w:rsidR="006F5386" w:rsidRPr="006F5386" w:rsidRDefault="006F5386" w:rsidP="00E73F0F">
            <w:pPr>
              <w:jc w:val="right"/>
              <w:rPr>
                <w:rFonts w:ascii="Arial" w:eastAsiaTheme="minorHAnsi" w:hAnsi="Arial" w:cs="Arial"/>
                <w:color w:val="000000"/>
              </w:rPr>
            </w:pPr>
            <w:r w:rsidRPr="006F5386">
              <w:rPr>
                <w:rFonts w:ascii="Arial" w:hAnsi="Arial" w:cs="Arial"/>
                <w:color w:val="000000"/>
              </w:rPr>
              <w:t xml:space="preserve">$52,979 </w:t>
            </w:r>
          </w:p>
        </w:tc>
        <w:tc>
          <w:tcPr>
            <w:tcW w:w="20" w:type="dxa"/>
            <w:vAlign w:val="center"/>
            <w:hideMark/>
          </w:tcPr>
          <w:p w14:paraId="2821C169" w14:textId="77777777" w:rsidR="006F5386" w:rsidRPr="006F5386" w:rsidRDefault="006F5386" w:rsidP="00E73F0F">
            <w:pPr>
              <w:rPr>
                <w:rFonts w:ascii="Arial" w:eastAsiaTheme="minorHAnsi" w:hAnsi="Arial" w:cs="Arial"/>
              </w:rPr>
            </w:pPr>
            <w:r w:rsidRPr="006F5386">
              <w:rPr>
                <w:rFonts w:ascii="Arial" w:hAnsi="Arial" w:cs="Arial"/>
              </w:rPr>
              <w:t> </w:t>
            </w:r>
          </w:p>
        </w:tc>
      </w:tr>
      <w:tr w:rsidR="006F5386" w:rsidRPr="006F5386" w14:paraId="53FAD391" w14:textId="77777777" w:rsidTr="00E73F0F">
        <w:trPr>
          <w:trHeight w:val="315"/>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B18941E" w14:textId="77777777" w:rsidR="006F5386" w:rsidRPr="006F5386" w:rsidRDefault="006F5386" w:rsidP="00E73F0F">
            <w:pPr>
              <w:ind w:hanging="29"/>
              <w:jc w:val="center"/>
              <w:rPr>
                <w:rFonts w:ascii="Arial" w:eastAsiaTheme="minorHAnsi" w:hAnsi="Arial" w:cs="Arial"/>
                <w:color w:val="000000"/>
              </w:rPr>
            </w:pPr>
            <w:r w:rsidRPr="006F5386">
              <w:rPr>
                <w:rFonts w:ascii="Arial" w:hAnsi="Arial" w:cs="Arial"/>
                <w:color w:val="000000"/>
              </w:rPr>
              <w:t>2019</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F6F374" w14:textId="77777777" w:rsidR="006F5386" w:rsidRPr="006F5386" w:rsidRDefault="006F5386" w:rsidP="00E73F0F">
            <w:pPr>
              <w:jc w:val="center"/>
              <w:rPr>
                <w:rFonts w:ascii="Arial" w:eastAsiaTheme="minorHAnsi" w:hAnsi="Arial" w:cs="Arial"/>
                <w:color w:val="000000"/>
              </w:rPr>
            </w:pPr>
            <w:r w:rsidRPr="006F5386">
              <w:rPr>
                <w:rFonts w:ascii="Arial" w:hAnsi="Arial" w:cs="Arial"/>
                <w:color w:val="000000"/>
              </w:rPr>
              <w:t>2,482</w:t>
            </w:r>
          </w:p>
        </w:tc>
        <w:tc>
          <w:tcPr>
            <w:tcW w:w="156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E67797" w14:textId="77777777" w:rsidR="006F5386" w:rsidRPr="006F5386" w:rsidRDefault="006F5386" w:rsidP="00E73F0F">
            <w:pPr>
              <w:jc w:val="right"/>
              <w:rPr>
                <w:rFonts w:ascii="Arial" w:eastAsiaTheme="minorHAnsi" w:hAnsi="Arial" w:cs="Arial"/>
                <w:color w:val="000000"/>
              </w:rPr>
            </w:pPr>
            <w:r w:rsidRPr="006F5386">
              <w:rPr>
                <w:rFonts w:ascii="Arial" w:hAnsi="Arial" w:cs="Arial"/>
                <w:color w:val="000000"/>
              </w:rPr>
              <w:t xml:space="preserve">$57,438 </w:t>
            </w:r>
          </w:p>
        </w:tc>
        <w:tc>
          <w:tcPr>
            <w:tcW w:w="20" w:type="dxa"/>
            <w:vAlign w:val="center"/>
            <w:hideMark/>
          </w:tcPr>
          <w:p w14:paraId="2886BC84" w14:textId="77777777" w:rsidR="006F5386" w:rsidRPr="006F5386" w:rsidRDefault="006F5386" w:rsidP="00E73F0F">
            <w:pPr>
              <w:rPr>
                <w:rFonts w:ascii="Arial" w:eastAsiaTheme="minorHAnsi" w:hAnsi="Arial" w:cs="Arial"/>
              </w:rPr>
            </w:pPr>
            <w:r w:rsidRPr="006F5386">
              <w:rPr>
                <w:rFonts w:ascii="Arial" w:hAnsi="Arial" w:cs="Arial"/>
              </w:rPr>
              <w:t> </w:t>
            </w:r>
          </w:p>
        </w:tc>
      </w:tr>
      <w:tr w:rsidR="006F5386" w:rsidRPr="006F5386" w14:paraId="1275B4B0" w14:textId="77777777" w:rsidTr="00E73F0F">
        <w:trPr>
          <w:trHeight w:val="315"/>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9343AE" w14:textId="77777777" w:rsidR="006F5386" w:rsidRPr="006F5386" w:rsidRDefault="006F5386" w:rsidP="00E73F0F">
            <w:pPr>
              <w:ind w:hanging="29"/>
              <w:jc w:val="center"/>
              <w:rPr>
                <w:rFonts w:ascii="Arial" w:eastAsiaTheme="minorHAnsi" w:hAnsi="Arial" w:cs="Arial"/>
                <w:color w:val="000000"/>
              </w:rPr>
            </w:pPr>
            <w:r w:rsidRPr="006F5386">
              <w:rPr>
                <w:rFonts w:ascii="Arial" w:hAnsi="Arial" w:cs="Arial"/>
                <w:color w:val="000000"/>
              </w:rPr>
              <w:t>2020</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985A88" w14:textId="77777777" w:rsidR="006F5386" w:rsidRPr="006F5386" w:rsidRDefault="006F5386" w:rsidP="00E73F0F">
            <w:pPr>
              <w:jc w:val="center"/>
              <w:rPr>
                <w:rFonts w:ascii="Arial" w:eastAsiaTheme="minorHAnsi" w:hAnsi="Arial" w:cs="Arial"/>
                <w:color w:val="000000"/>
              </w:rPr>
            </w:pPr>
            <w:r w:rsidRPr="006F5386">
              <w:rPr>
                <w:rFonts w:ascii="Arial" w:hAnsi="Arial" w:cs="Arial"/>
                <w:color w:val="000000"/>
              </w:rPr>
              <w:t>2,602</w:t>
            </w:r>
          </w:p>
        </w:tc>
        <w:tc>
          <w:tcPr>
            <w:tcW w:w="156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D5D19A" w14:textId="77777777" w:rsidR="006F5386" w:rsidRPr="006F5386" w:rsidRDefault="006F5386" w:rsidP="00E73F0F">
            <w:pPr>
              <w:jc w:val="right"/>
              <w:rPr>
                <w:rFonts w:ascii="Arial" w:eastAsiaTheme="minorHAnsi" w:hAnsi="Arial" w:cs="Arial"/>
                <w:color w:val="000000"/>
              </w:rPr>
            </w:pPr>
            <w:r w:rsidRPr="006F5386">
              <w:rPr>
                <w:rFonts w:ascii="Arial" w:hAnsi="Arial" w:cs="Arial"/>
                <w:color w:val="000000"/>
              </w:rPr>
              <w:t xml:space="preserve">$61,744 </w:t>
            </w:r>
          </w:p>
        </w:tc>
        <w:tc>
          <w:tcPr>
            <w:tcW w:w="20" w:type="dxa"/>
            <w:vAlign w:val="center"/>
            <w:hideMark/>
          </w:tcPr>
          <w:p w14:paraId="3CD6AB48" w14:textId="77777777" w:rsidR="006F5386" w:rsidRPr="006F5386" w:rsidRDefault="006F5386" w:rsidP="00E73F0F">
            <w:pPr>
              <w:rPr>
                <w:rFonts w:ascii="Arial" w:eastAsiaTheme="minorHAnsi" w:hAnsi="Arial" w:cs="Arial"/>
              </w:rPr>
            </w:pPr>
            <w:r w:rsidRPr="006F5386">
              <w:rPr>
                <w:rFonts w:ascii="Arial" w:hAnsi="Arial" w:cs="Arial"/>
              </w:rPr>
              <w:t> </w:t>
            </w:r>
          </w:p>
        </w:tc>
      </w:tr>
      <w:tr w:rsidR="006F5386" w:rsidRPr="006F5386" w14:paraId="339DB3D2" w14:textId="77777777" w:rsidTr="00E73F0F">
        <w:trPr>
          <w:trHeight w:val="315"/>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A17B02" w14:textId="77777777" w:rsidR="006F5386" w:rsidRPr="006F5386" w:rsidRDefault="006F5386" w:rsidP="00E73F0F">
            <w:pPr>
              <w:ind w:hanging="29"/>
              <w:jc w:val="center"/>
              <w:rPr>
                <w:rFonts w:ascii="Arial" w:eastAsiaTheme="minorHAnsi" w:hAnsi="Arial" w:cs="Arial"/>
                <w:color w:val="000000"/>
              </w:rPr>
            </w:pPr>
            <w:r w:rsidRPr="006F5386">
              <w:rPr>
                <w:rFonts w:ascii="Arial" w:hAnsi="Arial" w:cs="Arial"/>
                <w:color w:val="000000"/>
              </w:rPr>
              <w:t>2021</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F8E8F8" w14:textId="77777777" w:rsidR="006F5386" w:rsidRPr="006F5386" w:rsidRDefault="006F5386" w:rsidP="00E73F0F">
            <w:pPr>
              <w:jc w:val="center"/>
              <w:rPr>
                <w:rFonts w:ascii="Arial" w:eastAsiaTheme="minorHAnsi" w:hAnsi="Arial" w:cs="Arial"/>
                <w:color w:val="000000"/>
              </w:rPr>
            </w:pPr>
            <w:r w:rsidRPr="006F5386">
              <w:rPr>
                <w:rFonts w:ascii="Arial" w:hAnsi="Arial" w:cs="Arial"/>
                <w:color w:val="000000"/>
              </w:rPr>
              <w:t>2,703</w:t>
            </w:r>
          </w:p>
        </w:tc>
        <w:tc>
          <w:tcPr>
            <w:tcW w:w="156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0E6BDA" w14:textId="77777777" w:rsidR="006F5386" w:rsidRPr="006F5386" w:rsidRDefault="006F5386" w:rsidP="00E73F0F">
            <w:pPr>
              <w:jc w:val="right"/>
              <w:rPr>
                <w:rFonts w:ascii="Arial" w:eastAsiaTheme="minorHAnsi" w:hAnsi="Arial" w:cs="Arial"/>
                <w:color w:val="000000"/>
              </w:rPr>
            </w:pPr>
            <w:r w:rsidRPr="006F5386">
              <w:rPr>
                <w:rFonts w:ascii="Arial" w:hAnsi="Arial" w:cs="Arial"/>
                <w:color w:val="000000"/>
              </w:rPr>
              <w:t xml:space="preserve">$65,616 </w:t>
            </w:r>
          </w:p>
        </w:tc>
        <w:tc>
          <w:tcPr>
            <w:tcW w:w="20" w:type="dxa"/>
            <w:vAlign w:val="center"/>
            <w:hideMark/>
          </w:tcPr>
          <w:p w14:paraId="694C6A7A" w14:textId="77777777" w:rsidR="006F5386" w:rsidRPr="006F5386" w:rsidRDefault="006F5386" w:rsidP="00E73F0F">
            <w:pPr>
              <w:rPr>
                <w:rFonts w:ascii="Arial" w:eastAsiaTheme="minorHAnsi" w:hAnsi="Arial" w:cs="Arial"/>
              </w:rPr>
            </w:pPr>
            <w:r w:rsidRPr="006F5386">
              <w:rPr>
                <w:rFonts w:ascii="Arial" w:hAnsi="Arial" w:cs="Arial"/>
              </w:rPr>
              <w:t> </w:t>
            </w:r>
          </w:p>
        </w:tc>
      </w:tr>
      <w:tr w:rsidR="006F5386" w:rsidRPr="006F5386" w14:paraId="0335AA69" w14:textId="77777777" w:rsidTr="00E73F0F">
        <w:trPr>
          <w:trHeight w:val="315"/>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084F8A" w14:textId="77777777" w:rsidR="006F5386" w:rsidRPr="006F5386" w:rsidRDefault="006F5386" w:rsidP="00E73F0F">
            <w:pPr>
              <w:ind w:hanging="29"/>
              <w:jc w:val="center"/>
              <w:rPr>
                <w:rFonts w:ascii="Arial" w:eastAsiaTheme="minorHAnsi" w:hAnsi="Arial" w:cs="Arial"/>
                <w:color w:val="000000"/>
              </w:rPr>
            </w:pPr>
            <w:r w:rsidRPr="006F5386">
              <w:rPr>
                <w:rFonts w:ascii="Arial" w:hAnsi="Arial" w:cs="Arial"/>
                <w:color w:val="000000"/>
              </w:rPr>
              <w:t>2022</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E02938" w14:textId="77777777" w:rsidR="006F5386" w:rsidRPr="006F5386" w:rsidRDefault="006F5386" w:rsidP="00E73F0F">
            <w:pPr>
              <w:jc w:val="center"/>
              <w:rPr>
                <w:rFonts w:ascii="Arial" w:eastAsiaTheme="minorHAnsi" w:hAnsi="Arial" w:cs="Arial"/>
                <w:color w:val="000000"/>
              </w:rPr>
            </w:pPr>
            <w:r w:rsidRPr="006F5386">
              <w:rPr>
                <w:rFonts w:ascii="Arial" w:hAnsi="Arial" w:cs="Arial"/>
                <w:color w:val="000000"/>
              </w:rPr>
              <w:t>2,791</w:t>
            </w:r>
          </w:p>
        </w:tc>
        <w:tc>
          <w:tcPr>
            <w:tcW w:w="156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99F2C7" w14:textId="77777777" w:rsidR="006F5386" w:rsidRPr="006F5386" w:rsidRDefault="006F5386" w:rsidP="00E73F0F">
            <w:pPr>
              <w:jc w:val="right"/>
              <w:rPr>
                <w:rFonts w:ascii="Arial" w:eastAsiaTheme="minorHAnsi" w:hAnsi="Arial" w:cs="Arial"/>
                <w:color w:val="000000"/>
              </w:rPr>
            </w:pPr>
            <w:r w:rsidRPr="006F5386">
              <w:rPr>
                <w:rFonts w:ascii="Arial" w:hAnsi="Arial" w:cs="Arial"/>
                <w:color w:val="000000"/>
              </w:rPr>
              <w:t xml:space="preserve">$69,427 </w:t>
            </w:r>
          </w:p>
        </w:tc>
        <w:tc>
          <w:tcPr>
            <w:tcW w:w="20" w:type="dxa"/>
            <w:vAlign w:val="center"/>
            <w:hideMark/>
          </w:tcPr>
          <w:p w14:paraId="0C03A74B" w14:textId="77777777" w:rsidR="006F5386" w:rsidRPr="006F5386" w:rsidRDefault="006F5386" w:rsidP="00E73F0F">
            <w:pPr>
              <w:rPr>
                <w:rFonts w:ascii="Arial" w:eastAsiaTheme="minorHAnsi" w:hAnsi="Arial" w:cs="Arial"/>
              </w:rPr>
            </w:pPr>
            <w:r w:rsidRPr="006F5386">
              <w:rPr>
                <w:rFonts w:ascii="Arial" w:hAnsi="Arial" w:cs="Arial"/>
              </w:rPr>
              <w:t> </w:t>
            </w:r>
          </w:p>
        </w:tc>
      </w:tr>
      <w:tr w:rsidR="006F5386" w:rsidRPr="006F5386" w14:paraId="31D3315F" w14:textId="77777777" w:rsidTr="00E73F0F">
        <w:trPr>
          <w:trHeight w:val="315"/>
        </w:trPr>
        <w:tc>
          <w:tcPr>
            <w:tcW w:w="167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D74088" w14:textId="77777777" w:rsidR="006F5386" w:rsidRPr="006F5386" w:rsidRDefault="006F5386" w:rsidP="00E73F0F">
            <w:pPr>
              <w:ind w:hanging="29"/>
              <w:jc w:val="center"/>
              <w:rPr>
                <w:rFonts w:ascii="Arial" w:eastAsiaTheme="minorHAnsi" w:hAnsi="Arial" w:cs="Arial"/>
                <w:b/>
                <w:bCs/>
                <w:color w:val="000000"/>
              </w:rPr>
            </w:pPr>
            <w:r w:rsidRPr="006F5386">
              <w:rPr>
                <w:rFonts w:ascii="Arial" w:hAnsi="Arial" w:cs="Arial"/>
                <w:b/>
                <w:bCs/>
                <w:color w:val="000000"/>
              </w:rPr>
              <w:t>5-year Total</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8D378B4" w14:textId="77777777" w:rsidR="006F5386" w:rsidRPr="006F5386" w:rsidRDefault="006F5386" w:rsidP="00E73F0F">
            <w:pPr>
              <w:jc w:val="center"/>
              <w:rPr>
                <w:rFonts w:ascii="Arial" w:eastAsiaTheme="minorHAnsi" w:hAnsi="Arial" w:cs="Arial"/>
                <w:color w:val="000000"/>
              </w:rPr>
            </w:pPr>
            <w:r w:rsidRPr="006F5386">
              <w:rPr>
                <w:rFonts w:ascii="Arial" w:hAnsi="Arial" w:cs="Arial"/>
                <w:color w:val="000000"/>
              </w:rPr>
              <w:t> </w:t>
            </w:r>
          </w:p>
        </w:tc>
        <w:tc>
          <w:tcPr>
            <w:tcW w:w="1568"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CA4CF5" w14:textId="77777777" w:rsidR="006F5386" w:rsidRPr="006F5386" w:rsidRDefault="006F5386" w:rsidP="00E73F0F">
            <w:pPr>
              <w:jc w:val="right"/>
              <w:rPr>
                <w:rFonts w:ascii="Arial" w:eastAsiaTheme="minorHAnsi" w:hAnsi="Arial" w:cs="Arial"/>
                <w:b/>
                <w:bCs/>
                <w:color w:val="000000"/>
              </w:rPr>
            </w:pPr>
            <w:r w:rsidRPr="006F5386">
              <w:rPr>
                <w:rFonts w:ascii="Arial" w:hAnsi="Arial" w:cs="Arial"/>
                <w:b/>
                <w:bCs/>
                <w:color w:val="000000"/>
              </w:rPr>
              <w:t xml:space="preserve">$307,204 </w:t>
            </w:r>
          </w:p>
        </w:tc>
        <w:tc>
          <w:tcPr>
            <w:tcW w:w="20" w:type="dxa"/>
            <w:vAlign w:val="center"/>
            <w:hideMark/>
          </w:tcPr>
          <w:p w14:paraId="12F73C5B" w14:textId="77777777" w:rsidR="006F5386" w:rsidRPr="006F5386" w:rsidRDefault="006F5386" w:rsidP="00E73F0F">
            <w:pPr>
              <w:rPr>
                <w:rFonts w:ascii="Arial" w:eastAsiaTheme="minorHAnsi" w:hAnsi="Arial" w:cs="Arial"/>
              </w:rPr>
            </w:pPr>
            <w:r w:rsidRPr="006F5386">
              <w:rPr>
                <w:rFonts w:ascii="Arial" w:hAnsi="Arial" w:cs="Arial"/>
              </w:rPr>
              <w:t> </w:t>
            </w:r>
          </w:p>
        </w:tc>
      </w:tr>
    </w:tbl>
    <w:p w14:paraId="0E19D9D7" w14:textId="77777777" w:rsidR="006F5386" w:rsidRPr="006F5386" w:rsidRDefault="006F5386" w:rsidP="006F5386">
      <w:pPr>
        <w:jc w:val="both"/>
        <w:rPr>
          <w:rFonts w:ascii="Arial" w:hAnsi="Arial" w:cs="Arial"/>
        </w:rPr>
      </w:pPr>
    </w:p>
    <w:p w14:paraId="10C6B5CB" w14:textId="77777777" w:rsidR="006F5386" w:rsidRPr="006F5386" w:rsidRDefault="006F5386" w:rsidP="006F5386">
      <w:pPr>
        <w:jc w:val="both"/>
        <w:rPr>
          <w:rFonts w:ascii="Arial" w:hAnsi="Arial" w:cs="Arial"/>
        </w:rPr>
      </w:pPr>
    </w:p>
    <w:p w14:paraId="3238F86D" w14:textId="77777777" w:rsidR="006F5386" w:rsidRPr="006F5386" w:rsidRDefault="006F5386" w:rsidP="006F5386">
      <w:pPr>
        <w:jc w:val="both"/>
        <w:rPr>
          <w:rFonts w:ascii="Arial" w:hAnsi="Arial" w:cs="Arial"/>
        </w:rPr>
      </w:pPr>
    </w:p>
    <w:p w14:paraId="4E9F329B" w14:textId="77777777" w:rsidR="006F5386" w:rsidRPr="006F5386" w:rsidRDefault="006F5386" w:rsidP="006F5386">
      <w:pPr>
        <w:jc w:val="both"/>
        <w:rPr>
          <w:rFonts w:ascii="Arial" w:hAnsi="Arial" w:cs="Arial"/>
        </w:rPr>
      </w:pPr>
    </w:p>
    <w:p w14:paraId="4C654950" w14:textId="77777777" w:rsidR="006F5386" w:rsidRPr="006F5386" w:rsidRDefault="006F5386" w:rsidP="006F5386">
      <w:pPr>
        <w:jc w:val="both"/>
        <w:rPr>
          <w:rFonts w:ascii="Arial" w:hAnsi="Arial" w:cs="Arial"/>
        </w:rPr>
      </w:pPr>
    </w:p>
    <w:p w14:paraId="64BA5634" w14:textId="77777777" w:rsidR="006F5386" w:rsidRPr="006F5386" w:rsidRDefault="006F5386" w:rsidP="006F5386">
      <w:pPr>
        <w:jc w:val="both"/>
        <w:rPr>
          <w:rFonts w:ascii="Arial" w:hAnsi="Arial" w:cs="Arial"/>
        </w:rPr>
      </w:pPr>
    </w:p>
    <w:p w14:paraId="5B8A086B" w14:textId="77777777" w:rsidR="006F5386" w:rsidRPr="006F5386" w:rsidRDefault="006F5386" w:rsidP="006F5386">
      <w:pPr>
        <w:jc w:val="both"/>
        <w:rPr>
          <w:rFonts w:ascii="Arial" w:hAnsi="Arial" w:cs="Arial"/>
        </w:rPr>
      </w:pPr>
    </w:p>
    <w:p w14:paraId="5971D08E" w14:textId="77777777" w:rsidR="006F5386" w:rsidRPr="006F5386" w:rsidRDefault="006F5386" w:rsidP="006F5386">
      <w:pPr>
        <w:jc w:val="both"/>
        <w:rPr>
          <w:rFonts w:ascii="Arial" w:hAnsi="Arial" w:cs="Arial"/>
        </w:rPr>
      </w:pPr>
    </w:p>
    <w:p w14:paraId="7E5AAFB3" w14:textId="77777777" w:rsidR="006F5386" w:rsidRPr="006F5386" w:rsidRDefault="006F5386" w:rsidP="006F5386">
      <w:pPr>
        <w:jc w:val="both"/>
        <w:rPr>
          <w:rFonts w:ascii="Arial" w:hAnsi="Arial" w:cs="Arial"/>
        </w:rPr>
      </w:pPr>
    </w:p>
    <w:p w14:paraId="7813573E" w14:textId="77777777" w:rsidR="006F5386" w:rsidRDefault="006F5386" w:rsidP="006F5386">
      <w:pPr>
        <w:jc w:val="both"/>
        <w:rPr>
          <w:rFonts w:cs="Arial"/>
        </w:rPr>
      </w:pPr>
    </w:p>
    <w:p w14:paraId="1906D10C" w14:textId="77777777" w:rsidR="006F5386" w:rsidRDefault="006F5386" w:rsidP="006F5386">
      <w:pPr>
        <w:jc w:val="both"/>
        <w:rPr>
          <w:rFonts w:cs="Arial"/>
        </w:rPr>
      </w:pPr>
    </w:p>
    <w:p w14:paraId="358E8603" w14:textId="77777777" w:rsidR="006F5386" w:rsidRDefault="006F5386" w:rsidP="006F5386">
      <w:pPr>
        <w:jc w:val="both"/>
        <w:rPr>
          <w:rFonts w:cs="Arial"/>
        </w:rPr>
      </w:pPr>
    </w:p>
    <w:p w14:paraId="37B7F3F6" w14:textId="77777777" w:rsidR="006F5386" w:rsidRDefault="006F5386" w:rsidP="006F5386">
      <w:pPr>
        <w:jc w:val="both"/>
        <w:rPr>
          <w:rFonts w:cs="Arial"/>
        </w:rPr>
      </w:pPr>
    </w:p>
    <w:p w14:paraId="2716FA29" w14:textId="77777777" w:rsidR="006F5386" w:rsidRDefault="006F5386" w:rsidP="006F5386">
      <w:pPr>
        <w:jc w:val="center"/>
        <w:rPr>
          <w:rFonts w:ascii="Arial" w:hAnsi="Arial" w:cs="Arial"/>
          <w:b/>
        </w:rPr>
      </w:pPr>
    </w:p>
    <w:p w14:paraId="3787CFE9" w14:textId="77777777" w:rsidR="006F5386" w:rsidRDefault="006F5386" w:rsidP="006F5386">
      <w:pPr>
        <w:jc w:val="center"/>
        <w:rPr>
          <w:rFonts w:ascii="Arial" w:hAnsi="Arial" w:cs="Arial"/>
          <w:b/>
        </w:rPr>
      </w:pPr>
    </w:p>
    <w:p w14:paraId="703FEF64" w14:textId="77777777" w:rsidR="006F5386" w:rsidRDefault="006F5386" w:rsidP="006F5386">
      <w:pPr>
        <w:jc w:val="center"/>
        <w:rPr>
          <w:rFonts w:ascii="Arial" w:hAnsi="Arial" w:cs="Arial"/>
          <w:b/>
        </w:rPr>
      </w:pPr>
    </w:p>
    <w:p w14:paraId="5FCFAFAF" w14:textId="77777777" w:rsidR="006F5386" w:rsidRDefault="006F5386" w:rsidP="006F5386">
      <w:pPr>
        <w:jc w:val="center"/>
        <w:rPr>
          <w:rFonts w:ascii="Arial" w:hAnsi="Arial" w:cs="Arial"/>
          <w:b/>
        </w:rPr>
      </w:pPr>
    </w:p>
    <w:p w14:paraId="3D93BD31" w14:textId="77777777" w:rsidR="006F5386" w:rsidRDefault="006F5386" w:rsidP="006F5386">
      <w:pPr>
        <w:jc w:val="center"/>
        <w:rPr>
          <w:rFonts w:ascii="Arial" w:hAnsi="Arial" w:cs="Arial"/>
          <w:b/>
        </w:rPr>
      </w:pPr>
    </w:p>
    <w:p w14:paraId="67CDDADD" w14:textId="77777777" w:rsidR="006F5386" w:rsidRDefault="006F5386" w:rsidP="006F5386">
      <w:pPr>
        <w:jc w:val="center"/>
        <w:rPr>
          <w:rFonts w:ascii="Arial" w:hAnsi="Arial" w:cs="Arial"/>
          <w:b/>
        </w:rPr>
      </w:pPr>
    </w:p>
    <w:p w14:paraId="5F5236DC" w14:textId="77777777" w:rsidR="006F5386" w:rsidRDefault="006F5386" w:rsidP="006F5386">
      <w:pPr>
        <w:jc w:val="center"/>
        <w:rPr>
          <w:rFonts w:ascii="Arial" w:hAnsi="Arial" w:cs="Arial"/>
          <w:b/>
        </w:rPr>
      </w:pPr>
    </w:p>
    <w:p w14:paraId="700F894F" w14:textId="77777777" w:rsidR="006F5386" w:rsidRDefault="006F5386" w:rsidP="006F5386">
      <w:pPr>
        <w:jc w:val="center"/>
        <w:rPr>
          <w:rFonts w:ascii="Arial" w:hAnsi="Arial" w:cs="Arial"/>
          <w:b/>
        </w:rPr>
      </w:pPr>
    </w:p>
    <w:p w14:paraId="1F13916A" w14:textId="77777777" w:rsidR="006F5386" w:rsidRDefault="006F5386" w:rsidP="006F5386">
      <w:pPr>
        <w:jc w:val="center"/>
        <w:rPr>
          <w:rFonts w:ascii="Arial" w:hAnsi="Arial" w:cs="Arial"/>
          <w:b/>
        </w:rPr>
      </w:pPr>
    </w:p>
    <w:p w14:paraId="4CBE50C5" w14:textId="77777777" w:rsidR="006F5386" w:rsidRDefault="006F5386" w:rsidP="006F5386">
      <w:pPr>
        <w:jc w:val="center"/>
        <w:rPr>
          <w:rFonts w:ascii="Arial" w:hAnsi="Arial" w:cs="Arial"/>
          <w:b/>
        </w:rPr>
      </w:pPr>
    </w:p>
    <w:p w14:paraId="3C2D776C" w14:textId="77777777" w:rsidR="006F5386" w:rsidRDefault="006F5386" w:rsidP="006F5386">
      <w:pPr>
        <w:jc w:val="center"/>
        <w:rPr>
          <w:rFonts w:ascii="Arial" w:hAnsi="Arial" w:cs="Arial"/>
          <w:b/>
        </w:rPr>
      </w:pPr>
    </w:p>
    <w:p w14:paraId="374B4C9E" w14:textId="77777777" w:rsidR="006F5386" w:rsidRDefault="006F5386" w:rsidP="006F5386">
      <w:pPr>
        <w:jc w:val="center"/>
        <w:rPr>
          <w:rFonts w:ascii="Arial" w:hAnsi="Arial" w:cs="Arial"/>
          <w:b/>
        </w:rPr>
      </w:pPr>
    </w:p>
    <w:p w14:paraId="5EC70FD4" w14:textId="77777777" w:rsidR="006F5386" w:rsidRDefault="006F5386" w:rsidP="006F5386">
      <w:pPr>
        <w:jc w:val="center"/>
        <w:rPr>
          <w:rFonts w:ascii="Arial" w:hAnsi="Arial" w:cs="Arial"/>
          <w:b/>
        </w:rPr>
      </w:pPr>
    </w:p>
    <w:p w14:paraId="15B72E55" w14:textId="77777777" w:rsidR="006F5386" w:rsidRDefault="006F5386" w:rsidP="006F5386">
      <w:pPr>
        <w:jc w:val="center"/>
        <w:rPr>
          <w:rFonts w:ascii="Arial" w:hAnsi="Arial" w:cs="Arial"/>
          <w:b/>
        </w:rPr>
      </w:pPr>
    </w:p>
    <w:p w14:paraId="2F791F17" w14:textId="77777777" w:rsidR="006F5386" w:rsidRDefault="006F5386" w:rsidP="006F5386">
      <w:pPr>
        <w:jc w:val="center"/>
        <w:rPr>
          <w:rFonts w:ascii="Arial" w:hAnsi="Arial" w:cs="Arial"/>
          <w:b/>
        </w:rPr>
      </w:pPr>
    </w:p>
    <w:p w14:paraId="54AA6F46" w14:textId="77777777" w:rsidR="006F5386" w:rsidRDefault="006F5386" w:rsidP="006F5386">
      <w:pPr>
        <w:jc w:val="center"/>
        <w:rPr>
          <w:rFonts w:ascii="Arial" w:hAnsi="Arial" w:cs="Arial"/>
          <w:b/>
        </w:rPr>
      </w:pPr>
    </w:p>
    <w:p w14:paraId="3677EAD4" w14:textId="77777777" w:rsidR="006F5386" w:rsidRPr="006F5386" w:rsidRDefault="006F5386" w:rsidP="006F5386">
      <w:pPr>
        <w:jc w:val="center"/>
        <w:rPr>
          <w:rFonts w:ascii="Arial" w:hAnsi="Arial" w:cs="Arial"/>
          <w:b/>
        </w:rPr>
      </w:pPr>
      <w:r w:rsidRPr="006F5386">
        <w:rPr>
          <w:rFonts w:ascii="Arial" w:hAnsi="Arial" w:cs="Arial"/>
          <w:b/>
        </w:rPr>
        <w:t>(Attachment 2)</w:t>
      </w:r>
      <w:r w:rsidRPr="006F5386">
        <w:rPr>
          <w:rFonts w:ascii="Arial" w:hAnsi="Arial" w:cs="Arial"/>
          <w:b/>
        </w:rPr>
        <w:br w:type="textWrapping" w:clear="all"/>
      </w:r>
    </w:p>
    <w:p w14:paraId="3178905F" w14:textId="77777777" w:rsidR="006F5386" w:rsidRDefault="006F5386" w:rsidP="006F5386">
      <w:pPr>
        <w:jc w:val="both"/>
        <w:rPr>
          <w:rFonts w:cs="Arial"/>
        </w:rPr>
      </w:pPr>
    </w:p>
    <w:p w14:paraId="79475FAE" w14:textId="77777777" w:rsidR="006F5386" w:rsidRDefault="006F5386" w:rsidP="006F5386">
      <w:pPr>
        <w:jc w:val="both"/>
        <w:rPr>
          <w:rFonts w:cs="Arial"/>
        </w:rPr>
      </w:pPr>
    </w:p>
    <w:p w14:paraId="422E87E1" w14:textId="77777777" w:rsidR="006F5386" w:rsidRPr="00265912" w:rsidRDefault="006F5386" w:rsidP="006F5386">
      <w:pPr>
        <w:jc w:val="center"/>
        <w:rPr>
          <w:rFonts w:cs="Arial"/>
        </w:rPr>
      </w:pPr>
      <w:r>
        <w:rPr>
          <w:rFonts w:cs="Arial"/>
        </w:rPr>
        <w:object w:dxaOrig="9180" w:dyaOrig="11881" w14:anchorId="0A9AE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534.6pt" o:ole="">
            <v:imagedata r:id="rId7" o:title=""/>
          </v:shape>
          <o:OLEObject Type="Embed" ProgID="AcroExch.Document.11" ShapeID="_x0000_i1025" DrawAspect="Content" ObjectID="_1546009379" r:id="rId8"/>
        </w:object>
      </w:r>
    </w:p>
    <w:p w14:paraId="0E1F8B59" w14:textId="77777777" w:rsidR="006F5386" w:rsidRDefault="006F5386"/>
    <w:sectPr w:rsidR="006F5386" w:rsidSect="006E4526">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C0B58" w14:textId="77777777" w:rsidR="000C596B" w:rsidRDefault="000C596B" w:rsidP="005A6FDF">
      <w:r>
        <w:separator/>
      </w:r>
    </w:p>
  </w:endnote>
  <w:endnote w:type="continuationSeparator" w:id="0">
    <w:p w14:paraId="4AE03A0C" w14:textId="77777777" w:rsidR="000C596B" w:rsidRDefault="000C596B" w:rsidP="005A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64B3" w14:textId="77777777" w:rsidR="005A6FDF" w:rsidRDefault="005A6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5678" w14:textId="77777777" w:rsidR="005A6FDF" w:rsidRDefault="005A6F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28EF" w14:textId="77777777" w:rsidR="005A6FDF" w:rsidRDefault="005A6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2F21F" w14:textId="77777777" w:rsidR="000C596B" w:rsidRDefault="000C596B" w:rsidP="005A6FDF">
      <w:r>
        <w:separator/>
      </w:r>
    </w:p>
  </w:footnote>
  <w:footnote w:type="continuationSeparator" w:id="0">
    <w:p w14:paraId="525F7AB2" w14:textId="77777777" w:rsidR="000C596B" w:rsidRDefault="000C596B" w:rsidP="005A6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B22F" w14:textId="77777777" w:rsidR="005A6FDF" w:rsidRDefault="005A6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B183C" w14:textId="77777777" w:rsidR="005A6FDF" w:rsidRDefault="005A6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E4B5D" w14:textId="77777777" w:rsidR="005A6FDF" w:rsidRDefault="005A6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26"/>
    <w:rsid w:val="00072A87"/>
    <w:rsid w:val="000C596B"/>
    <w:rsid w:val="00124ADE"/>
    <w:rsid w:val="001B416B"/>
    <w:rsid w:val="001F5AB8"/>
    <w:rsid w:val="002540F1"/>
    <w:rsid w:val="00340050"/>
    <w:rsid w:val="004D0EF8"/>
    <w:rsid w:val="005A6FDF"/>
    <w:rsid w:val="006E4526"/>
    <w:rsid w:val="006F5386"/>
    <w:rsid w:val="00761C66"/>
    <w:rsid w:val="008354F5"/>
    <w:rsid w:val="00965F0E"/>
    <w:rsid w:val="00AF6138"/>
    <w:rsid w:val="00C66546"/>
    <w:rsid w:val="00C74CAE"/>
    <w:rsid w:val="00DB412C"/>
    <w:rsid w:val="00E150A6"/>
    <w:rsid w:val="00E25FC8"/>
    <w:rsid w:val="00F5760B"/>
    <w:rsid w:val="00FF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5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45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45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E4526"/>
    <w:pPr>
      <w:keepNext/>
      <w:ind w:left="-2340"/>
      <w:jc w:val="center"/>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4526"/>
    <w:rPr>
      <w:rFonts w:ascii="Arial" w:eastAsia="Times New Roman" w:hAnsi="Arial" w:cs="Arial"/>
      <w:b/>
      <w:bCs/>
      <w:color w:val="000080"/>
      <w:sz w:val="24"/>
      <w:szCs w:val="24"/>
    </w:rPr>
  </w:style>
  <w:style w:type="character" w:customStyle="1" w:styleId="Heading2Char">
    <w:name w:val="Heading 2 Char"/>
    <w:basedOn w:val="DefaultParagraphFont"/>
    <w:link w:val="Heading2"/>
    <w:uiPriority w:val="9"/>
    <w:semiHidden/>
    <w:rsid w:val="006E452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452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6E4526"/>
    <w:rPr>
      <w:rFonts w:ascii="Arial" w:hAnsi="Arial" w:cs="Arial"/>
    </w:rPr>
  </w:style>
  <w:style w:type="character" w:customStyle="1" w:styleId="BodyTextChar">
    <w:name w:val="Body Text Char"/>
    <w:basedOn w:val="DefaultParagraphFont"/>
    <w:link w:val="BodyText"/>
    <w:rsid w:val="006E4526"/>
    <w:rPr>
      <w:rFonts w:ascii="Arial" w:eastAsia="Times New Roman" w:hAnsi="Arial" w:cs="Arial"/>
      <w:sz w:val="24"/>
      <w:szCs w:val="24"/>
    </w:rPr>
  </w:style>
  <w:style w:type="paragraph" w:styleId="ListParagraph">
    <w:name w:val="List Paragraph"/>
    <w:basedOn w:val="Normal"/>
    <w:uiPriority w:val="34"/>
    <w:qFormat/>
    <w:rsid w:val="006F5386"/>
    <w:pPr>
      <w:ind w:left="720"/>
      <w:contextualSpacing/>
    </w:pPr>
    <w:rPr>
      <w:sz w:val="20"/>
      <w:szCs w:val="20"/>
    </w:rPr>
  </w:style>
  <w:style w:type="paragraph" w:styleId="CommentText">
    <w:name w:val="annotation text"/>
    <w:basedOn w:val="Normal"/>
    <w:link w:val="CommentTextChar"/>
    <w:rsid w:val="006F5386"/>
    <w:rPr>
      <w:rFonts w:ascii="Arial" w:hAnsi="Arial"/>
      <w:sz w:val="20"/>
      <w:szCs w:val="20"/>
    </w:rPr>
  </w:style>
  <w:style w:type="character" w:customStyle="1" w:styleId="CommentTextChar">
    <w:name w:val="Comment Text Char"/>
    <w:basedOn w:val="DefaultParagraphFont"/>
    <w:link w:val="CommentText"/>
    <w:rsid w:val="006F5386"/>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B416B"/>
    <w:rPr>
      <w:sz w:val="16"/>
      <w:szCs w:val="16"/>
    </w:rPr>
  </w:style>
  <w:style w:type="paragraph" w:styleId="CommentSubject">
    <w:name w:val="annotation subject"/>
    <w:basedOn w:val="CommentText"/>
    <w:next w:val="CommentText"/>
    <w:link w:val="CommentSubjectChar"/>
    <w:uiPriority w:val="99"/>
    <w:semiHidden/>
    <w:unhideWhenUsed/>
    <w:rsid w:val="001B416B"/>
    <w:rPr>
      <w:rFonts w:ascii="Times New Roman" w:hAnsi="Times New Roman"/>
      <w:b/>
      <w:bCs/>
    </w:rPr>
  </w:style>
  <w:style w:type="character" w:customStyle="1" w:styleId="CommentSubjectChar">
    <w:name w:val="Comment Subject Char"/>
    <w:basedOn w:val="CommentTextChar"/>
    <w:link w:val="CommentSubject"/>
    <w:uiPriority w:val="99"/>
    <w:semiHidden/>
    <w:rsid w:val="001B41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4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16B"/>
    <w:rPr>
      <w:rFonts w:ascii="Segoe UI" w:eastAsia="Times New Roman" w:hAnsi="Segoe UI" w:cs="Segoe UI"/>
      <w:sz w:val="18"/>
      <w:szCs w:val="18"/>
    </w:rPr>
  </w:style>
  <w:style w:type="paragraph" w:styleId="Header">
    <w:name w:val="header"/>
    <w:basedOn w:val="Normal"/>
    <w:link w:val="HeaderChar"/>
    <w:uiPriority w:val="99"/>
    <w:unhideWhenUsed/>
    <w:rsid w:val="005A6FDF"/>
    <w:pPr>
      <w:tabs>
        <w:tab w:val="center" w:pos="4680"/>
        <w:tab w:val="right" w:pos="9360"/>
      </w:tabs>
    </w:pPr>
  </w:style>
  <w:style w:type="character" w:customStyle="1" w:styleId="HeaderChar">
    <w:name w:val="Header Char"/>
    <w:basedOn w:val="DefaultParagraphFont"/>
    <w:link w:val="Header"/>
    <w:uiPriority w:val="99"/>
    <w:rsid w:val="005A6F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6FDF"/>
    <w:pPr>
      <w:tabs>
        <w:tab w:val="center" w:pos="4680"/>
        <w:tab w:val="right" w:pos="9360"/>
      </w:tabs>
    </w:pPr>
  </w:style>
  <w:style w:type="character" w:customStyle="1" w:styleId="FooterChar">
    <w:name w:val="Footer Char"/>
    <w:basedOn w:val="DefaultParagraphFont"/>
    <w:link w:val="Footer"/>
    <w:uiPriority w:val="99"/>
    <w:rsid w:val="005A6FD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2017-01-16T02:17:00Z</dcterms:created>
  <dcterms:modified xsi:type="dcterms:W3CDTF">2017-01-16T02:17:00Z</dcterms:modified>
</cp:coreProperties>
</file>