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350CD" w14:textId="77777777" w:rsidR="00B56867" w:rsidRPr="00B40D98" w:rsidRDefault="001117E7" w:rsidP="001117E7">
      <w:pPr>
        <w:pStyle w:val="NormalWeb"/>
        <w:spacing w:before="0" w:beforeAutospacing="0" w:after="0" w:afterAutospacing="0"/>
        <w:rPr>
          <w:i/>
          <w:sz w:val="22"/>
          <w:szCs w:val="22"/>
        </w:rPr>
      </w:pPr>
      <w:r w:rsidRPr="00B40D98">
        <w:rPr>
          <w:i/>
          <w:iCs/>
          <w:sz w:val="22"/>
          <w:szCs w:val="22"/>
        </w:rPr>
        <w:t xml:space="preserve"> </w:t>
      </w:r>
      <w:r w:rsidR="00B56867" w:rsidRPr="00B40D98">
        <w:rPr>
          <w:i/>
          <w:iCs/>
          <w:sz w:val="22"/>
          <w:szCs w:val="22"/>
        </w:rPr>
        <w:t xml:space="preserve">(1) </w:t>
      </w:r>
      <w:r w:rsidR="00B56867" w:rsidRPr="00B40D98">
        <w:rPr>
          <w:i/>
          <w:sz w:val="22"/>
          <w:szCs w:val="22"/>
        </w:rPr>
        <w:t>Identification of the agency and the contracting activity:</w:t>
      </w:r>
    </w:p>
    <w:p w14:paraId="5A5FCFCB" w14:textId="77777777" w:rsidR="001117E7" w:rsidRPr="00A24B68" w:rsidRDefault="001117E7" w:rsidP="001117E7">
      <w:pPr>
        <w:pStyle w:val="NormalWeb"/>
        <w:spacing w:before="0" w:beforeAutospacing="0" w:after="0" w:afterAutospacing="0"/>
        <w:rPr>
          <w:sz w:val="22"/>
          <w:szCs w:val="22"/>
        </w:rPr>
      </w:pPr>
    </w:p>
    <w:p w14:paraId="28B37A63" w14:textId="77777777" w:rsidR="00A54F87" w:rsidRPr="00A54F87" w:rsidRDefault="00A54F87" w:rsidP="001117E7">
      <w:pPr>
        <w:pStyle w:val="NormalWeb"/>
        <w:spacing w:before="0" w:beforeAutospacing="0" w:after="0" w:afterAutospacing="0"/>
        <w:rPr>
          <w:b/>
          <w:sz w:val="22"/>
          <w:szCs w:val="22"/>
        </w:rPr>
      </w:pPr>
      <w:r w:rsidRPr="00A54F87">
        <w:rPr>
          <w:b/>
          <w:sz w:val="22"/>
          <w:szCs w:val="22"/>
        </w:rPr>
        <w:t>Agency</w:t>
      </w:r>
    </w:p>
    <w:p w14:paraId="086AE110" w14:textId="77777777" w:rsidR="0051637F" w:rsidRPr="00A54F87" w:rsidRDefault="00A54F87" w:rsidP="001117E7">
      <w:pPr>
        <w:pStyle w:val="NormalWeb"/>
        <w:spacing w:before="0" w:beforeAutospacing="0" w:after="0" w:afterAutospacing="0"/>
        <w:rPr>
          <w:sz w:val="22"/>
          <w:szCs w:val="22"/>
        </w:rPr>
      </w:pPr>
      <w:r w:rsidRPr="00A54F87">
        <w:rPr>
          <w:sz w:val="22"/>
          <w:szCs w:val="22"/>
        </w:rPr>
        <w:t xml:space="preserve">U.S. </w:t>
      </w:r>
      <w:r w:rsidR="0051637F" w:rsidRPr="00A54F87">
        <w:rPr>
          <w:sz w:val="22"/>
          <w:szCs w:val="22"/>
        </w:rPr>
        <w:t>Environmental Protection Agency</w:t>
      </w:r>
      <w:r w:rsidRPr="00A54F87">
        <w:rPr>
          <w:sz w:val="22"/>
          <w:szCs w:val="22"/>
        </w:rPr>
        <w:t xml:space="preserve"> (EPA)</w:t>
      </w:r>
    </w:p>
    <w:p w14:paraId="0748E607" w14:textId="77777777" w:rsidR="00A54F87" w:rsidRPr="00A54F87" w:rsidRDefault="00A54F87" w:rsidP="001117E7">
      <w:pPr>
        <w:pStyle w:val="NormalWeb"/>
        <w:spacing w:before="0" w:beforeAutospacing="0" w:after="0" w:afterAutospacing="0"/>
        <w:rPr>
          <w:sz w:val="22"/>
          <w:szCs w:val="22"/>
        </w:rPr>
      </w:pPr>
      <w:r w:rsidRPr="00A54F87">
        <w:rPr>
          <w:sz w:val="22"/>
          <w:szCs w:val="22"/>
        </w:rPr>
        <w:t xml:space="preserve">Office of </w:t>
      </w:r>
      <w:r w:rsidR="00A15AD7">
        <w:rPr>
          <w:sz w:val="22"/>
          <w:szCs w:val="22"/>
        </w:rPr>
        <w:t>Ground Water and Drinking Water</w:t>
      </w:r>
    </w:p>
    <w:p w14:paraId="12AD4B66" w14:textId="77777777" w:rsidR="00A54F87" w:rsidRPr="00A54F87" w:rsidRDefault="00A54F87" w:rsidP="001117E7">
      <w:pPr>
        <w:pStyle w:val="NormalWeb"/>
        <w:spacing w:before="0" w:beforeAutospacing="0" w:after="0" w:afterAutospacing="0"/>
      </w:pPr>
      <w:r w:rsidRPr="00A54F87">
        <w:t xml:space="preserve">Standards and </w:t>
      </w:r>
      <w:r w:rsidR="00A15AD7">
        <w:t>Risk Management Division (SRMD)</w:t>
      </w:r>
    </w:p>
    <w:p w14:paraId="1D324C04" w14:textId="77777777" w:rsidR="00A54F87" w:rsidRDefault="00A54F87" w:rsidP="001117E7">
      <w:pPr>
        <w:pStyle w:val="NormalWeb"/>
        <w:spacing w:before="0" w:beforeAutospacing="0" w:after="0" w:afterAutospacing="0"/>
        <w:rPr>
          <w:sz w:val="23"/>
          <w:szCs w:val="23"/>
        </w:rPr>
      </w:pPr>
      <w:r w:rsidRPr="00A54F87">
        <w:rPr>
          <w:sz w:val="23"/>
          <w:szCs w:val="23"/>
        </w:rPr>
        <w:t xml:space="preserve">1200 Pennsylvania Avenue, N. W. </w:t>
      </w:r>
      <w:r w:rsidRPr="00A54F87">
        <w:rPr>
          <w:sz w:val="23"/>
          <w:szCs w:val="23"/>
        </w:rPr>
        <w:br/>
        <w:t>Washington, DC 20460</w:t>
      </w:r>
    </w:p>
    <w:p w14:paraId="2D9B05A1" w14:textId="77777777" w:rsidR="00A54F87" w:rsidRDefault="00A54F87" w:rsidP="001117E7">
      <w:pPr>
        <w:pStyle w:val="NormalWeb"/>
        <w:spacing w:before="0" w:beforeAutospacing="0" w:after="0" w:afterAutospacing="0"/>
        <w:rPr>
          <w:sz w:val="23"/>
          <w:szCs w:val="23"/>
        </w:rPr>
      </w:pPr>
    </w:p>
    <w:p w14:paraId="2F33B29A" w14:textId="77777777" w:rsidR="00A54F87" w:rsidRPr="00A54F87" w:rsidRDefault="00A54F87" w:rsidP="001117E7">
      <w:pPr>
        <w:pStyle w:val="NormalWeb"/>
        <w:spacing w:before="0" w:beforeAutospacing="0" w:after="0" w:afterAutospacing="0"/>
        <w:rPr>
          <w:b/>
          <w:sz w:val="22"/>
          <w:szCs w:val="22"/>
        </w:rPr>
      </w:pPr>
      <w:r w:rsidRPr="00A54F87">
        <w:rPr>
          <w:b/>
          <w:sz w:val="22"/>
          <w:szCs w:val="22"/>
        </w:rPr>
        <w:t>Contracting Activity</w:t>
      </w:r>
    </w:p>
    <w:p w14:paraId="6D5791DD" w14:textId="77777777" w:rsidR="0051637F" w:rsidRDefault="00582971" w:rsidP="001117E7">
      <w:pPr>
        <w:pStyle w:val="NormalWeb"/>
        <w:spacing w:before="0" w:beforeAutospacing="0" w:after="0" w:afterAutospacing="0"/>
        <w:rPr>
          <w:sz w:val="22"/>
          <w:szCs w:val="22"/>
        </w:rPr>
      </w:pPr>
      <w:r w:rsidRPr="00A24B68">
        <w:rPr>
          <w:sz w:val="22"/>
          <w:szCs w:val="22"/>
        </w:rPr>
        <w:t xml:space="preserve">Office of </w:t>
      </w:r>
      <w:r w:rsidR="00A15AD7">
        <w:rPr>
          <w:sz w:val="22"/>
          <w:szCs w:val="22"/>
        </w:rPr>
        <w:t>Acquisition Solutions Ci</w:t>
      </w:r>
      <w:r w:rsidR="0051637F" w:rsidRPr="00A24B68">
        <w:rPr>
          <w:sz w:val="22"/>
          <w:szCs w:val="22"/>
        </w:rPr>
        <w:t xml:space="preserve">ncinnati </w:t>
      </w:r>
      <w:r w:rsidR="00A15AD7">
        <w:rPr>
          <w:sz w:val="22"/>
          <w:szCs w:val="22"/>
        </w:rPr>
        <w:t>Acquisition Division</w:t>
      </w:r>
      <w:r w:rsidR="003F724C" w:rsidRPr="00A24B68">
        <w:rPr>
          <w:sz w:val="22"/>
          <w:szCs w:val="22"/>
        </w:rPr>
        <w:t xml:space="preserve"> (C</w:t>
      </w:r>
      <w:r w:rsidR="007C1F99">
        <w:rPr>
          <w:sz w:val="22"/>
          <w:szCs w:val="22"/>
        </w:rPr>
        <w:t>AD</w:t>
      </w:r>
      <w:r w:rsidR="003F724C" w:rsidRPr="00A24B68">
        <w:rPr>
          <w:sz w:val="22"/>
          <w:szCs w:val="22"/>
        </w:rPr>
        <w:t>)</w:t>
      </w:r>
    </w:p>
    <w:p w14:paraId="5383B5E8" w14:textId="77777777" w:rsidR="00A54F87" w:rsidRDefault="00A15AD7" w:rsidP="001117E7">
      <w:pPr>
        <w:pStyle w:val="NormalWeb"/>
        <w:spacing w:before="0" w:beforeAutospacing="0" w:after="0" w:afterAutospacing="0"/>
        <w:rPr>
          <w:sz w:val="22"/>
          <w:szCs w:val="22"/>
        </w:rPr>
      </w:pPr>
      <w:r>
        <w:rPr>
          <w:sz w:val="22"/>
          <w:szCs w:val="22"/>
        </w:rPr>
        <w:t>26 West Martin Luther King Drive</w:t>
      </w:r>
      <w:r w:rsidR="00A54F87">
        <w:rPr>
          <w:sz w:val="22"/>
          <w:szCs w:val="22"/>
        </w:rPr>
        <w:t xml:space="preserve">, </w:t>
      </w:r>
      <w:r>
        <w:rPr>
          <w:sz w:val="22"/>
          <w:szCs w:val="22"/>
        </w:rPr>
        <w:t>Mail Code W136</w:t>
      </w:r>
    </w:p>
    <w:p w14:paraId="7EE67166" w14:textId="77777777" w:rsidR="00A54F87" w:rsidRPr="00A24B68" w:rsidRDefault="00A15AD7" w:rsidP="001117E7">
      <w:pPr>
        <w:pStyle w:val="NormalWeb"/>
        <w:spacing w:before="0" w:beforeAutospacing="0" w:after="0" w:afterAutospacing="0"/>
        <w:rPr>
          <w:sz w:val="22"/>
          <w:szCs w:val="22"/>
        </w:rPr>
      </w:pPr>
      <w:r>
        <w:rPr>
          <w:sz w:val="22"/>
          <w:szCs w:val="22"/>
        </w:rPr>
        <w:t>Cincinnati, OH 45268-0001</w:t>
      </w:r>
    </w:p>
    <w:p w14:paraId="69995A60" w14:textId="77777777" w:rsidR="001117E7" w:rsidRPr="00A24B68" w:rsidRDefault="001117E7" w:rsidP="001117E7">
      <w:pPr>
        <w:pStyle w:val="NormalWeb"/>
        <w:spacing w:before="0" w:beforeAutospacing="0" w:after="0" w:afterAutospacing="0"/>
        <w:rPr>
          <w:sz w:val="22"/>
          <w:szCs w:val="22"/>
        </w:rPr>
      </w:pPr>
    </w:p>
    <w:p w14:paraId="3B2D0CB0" w14:textId="77777777" w:rsidR="0051637F" w:rsidRPr="00B40D98" w:rsidRDefault="00B56867" w:rsidP="001117E7">
      <w:pPr>
        <w:pStyle w:val="NormalWeb"/>
        <w:spacing w:before="0" w:beforeAutospacing="0" w:after="0" w:afterAutospacing="0"/>
        <w:rPr>
          <w:i/>
          <w:sz w:val="22"/>
          <w:szCs w:val="22"/>
        </w:rPr>
      </w:pPr>
      <w:r w:rsidRPr="00B40D98">
        <w:rPr>
          <w:i/>
          <w:iCs/>
          <w:sz w:val="22"/>
          <w:szCs w:val="22"/>
        </w:rPr>
        <w:t xml:space="preserve">(2) </w:t>
      </w:r>
      <w:r w:rsidRPr="00B40D98">
        <w:rPr>
          <w:i/>
          <w:sz w:val="22"/>
          <w:szCs w:val="22"/>
        </w:rPr>
        <w:t>Nature and/or description of the action:</w:t>
      </w:r>
      <w:r w:rsidR="0051637F" w:rsidRPr="00B40D98">
        <w:rPr>
          <w:i/>
          <w:sz w:val="22"/>
          <w:szCs w:val="22"/>
        </w:rPr>
        <w:t xml:space="preserve"> </w:t>
      </w:r>
    </w:p>
    <w:p w14:paraId="4A4C806C" w14:textId="77777777" w:rsidR="001117E7" w:rsidRPr="00A24B68" w:rsidRDefault="001117E7" w:rsidP="001117E7">
      <w:pPr>
        <w:pStyle w:val="NormalWeb"/>
        <w:spacing w:before="0" w:beforeAutospacing="0" w:after="0" w:afterAutospacing="0"/>
        <w:rPr>
          <w:sz w:val="22"/>
          <w:szCs w:val="22"/>
        </w:rPr>
      </w:pPr>
    </w:p>
    <w:p w14:paraId="73E789D2" w14:textId="7BF20C0D" w:rsidR="001117E7" w:rsidRPr="00BF026C" w:rsidRDefault="00A54F87" w:rsidP="001117E7">
      <w:pPr>
        <w:pStyle w:val="NormalWeb"/>
        <w:spacing w:before="0" w:beforeAutospacing="0" w:after="0" w:afterAutospacing="0"/>
        <w:rPr>
          <w:sz w:val="22"/>
          <w:szCs w:val="22"/>
        </w:rPr>
      </w:pPr>
      <w:r w:rsidRPr="00BF026C">
        <w:rPr>
          <w:sz w:val="22"/>
          <w:szCs w:val="22"/>
        </w:rPr>
        <w:t>This is a sole source action to extend existing contract EP-C-</w:t>
      </w:r>
      <w:r w:rsidR="00C928A6" w:rsidRPr="00BF026C">
        <w:rPr>
          <w:sz w:val="22"/>
          <w:szCs w:val="22"/>
        </w:rPr>
        <w:t>1</w:t>
      </w:r>
      <w:r w:rsidR="00434749" w:rsidRPr="00BF026C">
        <w:rPr>
          <w:sz w:val="22"/>
          <w:szCs w:val="22"/>
        </w:rPr>
        <w:t>2-023</w:t>
      </w:r>
      <w:r w:rsidRPr="00BF026C">
        <w:rPr>
          <w:sz w:val="22"/>
          <w:szCs w:val="22"/>
        </w:rPr>
        <w:t xml:space="preserve"> with </w:t>
      </w:r>
      <w:r w:rsidR="00434749" w:rsidRPr="00BF026C">
        <w:rPr>
          <w:sz w:val="22"/>
          <w:szCs w:val="22"/>
        </w:rPr>
        <w:t xml:space="preserve">the Cadmus Group, which currently ends </w:t>
      </w:r>
      <w:r w:rsidR="00A8173C" w:rsidRPr="00BF026C">
        <w:rPr>
          <w:sz w:val="22"/>
          <w:szCs w:val="22"/>
        </w:rPr>
        <w:t>May 31, 2020</w:t>
      </w:r>
      <w:r w:rsidR="00434749" w:rsidRPr="00BF026C">
        <w:rPr>
          <w:sz w:val="22"/>
          <w:szCs w:val="22"/>
        </w:rPr>
        <w:t>.</w:t>
      </w:r>
      <w:r w:rsidR="0051637F" w:rsidRPr="00BF026C">
        <w:rPr>
          <w:sz w:val="22"/>
          <w:szCs w:val="22"/>
        </w:rPr>
        <w:t xml:space="preserve">  </w:t>
      </w:r>
      <w:r w:rsidR="005F54E5" w:rsidRPr="00BF026C">
        <w:rPr>
          <w:sz w:val="22"/>
          <w:szCs w:val="22"/>
        </w:rPr>
        <w:t>EPA requires the extension of the contract entitled, “</w:t>
      </w:r>
      <w:r w:rsidR="00871C31" w:rsidRPr="00BF026C">
        <w:rPr>
          <w:bCs/>
          <w:sz w:val="22"/>
          <w:szCs w:val="22"/>
        </w:rPr>
        <w:t xml:space="preserve">Technical </w:t>
      </w:r>
      <w:r w:rsidR="00C928A6" w:rsidRPr="00BF026C">
        <w:rPr>
          <w:bCs/>
          <w:sz w:val="22"/>
          <w:szCs w:val="22"/>
        </w:rPr>
        <w:t xml:space="preserve">and </w:t>
      </w:r>
      <w:r w:rsidR="005B5C7E" w:rsidRPr="00BF026C">
        <w:rPr>
          <w:bCs/>
          <w:sz w:val="22"/>
          <w:szCs w:val="22"/>
        </w:rPr>
        <w:t>Administrative Support for the U.S. Environmental Protection Agency’s National Drinking Water Program</w:t>
      </w:r>
      <w:r w:rsidR="005F54E5" w:rsidRPr="00BF026C">
        <w:rPr>
          <w:sz w:val="22"/>
          <w:szCs w:val="22"/>
        </w:rPr>
        <w:t xml:space="preserve">” for the </w:t>
      </w:r>
      <w:r w:rsidR="005B7391" w:rsidRPr="00BF026C">
        <w:rPr>
          <w:sz w:val="22"/>
          <w:szCs w:val="22"/>
        </w:rPr>
        <w:t>three</w:t>
      </w:r>
      <w:r w:rsidR="00A8173C" w:rsidRPr="00BF026C">
        <w:rPr>
          <w:sz w:val="22"/>
          <w:szCs w:val="22"/>
        </w:rPr>
        <w:t xml:space="preserve"> and a half</w:t>
      </w:r>
      <w:r w:rsidR="00340ECB" w:rsidRPr="00BF026C">
        <w:rPr>
          <w:sz w:val="22"/>
          <w:szCs w:val="22"/>
        </w:rPr>
        <w:t>-</w:t>
      </w:r>
      <w:r w:rsidR="005F54E5" w:rsidRPr="00BF026C">
        <w:rPr>
          <w:sz w:val="22"/>
          <w:szCs w:val="22"/>
        </w:rPr>
        <w:t xml:space="preserve">month period, </w:t>
      </w:r>
      <w:r w:rsidR="00A8173C" w:rsidRPr="00BF026C">
        <w:rPr>
          <w:sz w:val="22"/>
          <w:szCs w:val="22"/>
        </w:rPr>
        <w:t>June 1</w:t>
      </w:r>
      <w:r w:rsidR="00F01FB5" w:rsidRPr="00BF026C">
        <w:rPr>
          <w:sz w:val="22"/>
          <w:szCs w:val="22"/>
        </w:rPr>
        <w:t>, 2020</w:t>
      </w:r>
      <w:r w:rsidR="005F54E5" w:rsidRPr="00BF026C">
        <w:rPr>
          <w:sz w:val="22"/>
          <w:szCs w:val="22"/>
        </w:rPr>
        <w:t xml:space="preserve"> through </w:t>
      </w:r>
      <w:r w:rsidR="00A8173C" w:rsidRPr="00BF026C">
        <w:rPr>
          <w:sz w:val="22"/>
          <w:szCs w:val="22"/>
        </w:rPr>
        <w:t xml:space="preserve">September 25, </w:t>
      </w:r>
      <w:r w:rsidR="009305D3" w:rsidRPr="00BF026C">
        <w:rPr>
          <w:sz w:val="22"/>
          <w:szCs w:val="22"/>
        </w:rPr>
        <w:t>2020</w:t>
      </w:r>
      <w:r w:rsidR="005F54E5" w:rsidRPr="00BF026C">
        <w:rPr>
          <w:sz w:val="22"/>
          <w:szCs w:val="22"/>
        </w:rPr>
        <w:t xml:space="preserve">. </w:t>
      </w:r>
      <w:r w:rsidR="00BF026C" w:rsidRPr="00E35248">
        <w:rPr>
          <w:sz w:val="22"/>
          <w:szCs w:val="22"/>
        </w:rPr>
        <w:t xml:space="preserve">Specifically, without exercise of this option period, work would be forced to stop following the Contract’s 5/31/2020 expiration date.  The follow-on support contract, is in process of being awarded.  However, because the ordering mechanism is switching from a </w:t>
      </w:r>
      <w:r w:rsidR="00982185" w:rsidRPr="00E35248">
        <w:rPr>
          <w:sz w:val="22"/>
          <w:szCs w:val="22"/>
        </w:rPr>
        <w:t xml:space="preserve">contract with </w:t>
      </w:r>
      <w:r w:rsidR="00BF026C" w:rsidRPr="00E35248">
        <w:rPr>
          <w:sz w:val="22"/>
          <w:szCs w:val="22"/>
        </w:rPr>
        <w:t>Work Assignment</w:t>
      </w:r>
      <w:r w:rsidR="00982185" w:rsidRPr="00E35248">
        <w:rPr>
          <w:sz w:val="22"/>
          <w:szCs w:val="22"/>
        </w:rPr>
        <w:t>s</w:t>
      </w:r>
      <w:r w:rsidR="00BF026C" w:rsidRPr="00E35248">
        <w:rPr>
          <w:sz w:val="22"/>
          <w:szCs w:val="22"/>
        </w:rPr>
        <w:t xml:space="preserve"> to a Task Order type contract, most of the Task Orders will not be awarded </w:t>
      </w:r>
      <w:r w:rsidR="00B55FEA" w:rsidRPr="00E35248">
        <w:rPr>
          <w:sz w:val="22"/>
          <w:szCs w:val="22"/>
        </w:rPr>
        <w:t>until middle of September 2020</w:t>
      </w:r>
      <w:r w:rsidR="00BF026C" w:rsidRPr="00E35248">
        <w:rPr>
          <w:sz w:val="22"/>
          <w:szCs w:val="22"/>
        </w:rPr>
        <w:t xml:space="preserve"> to allow for uninterrupted service.</w:t>
      </w:r>
      <w:r w:rsidR="005F54E5" w:rsidRPr="00E35248">
        <w:rPr>
          <w:sz w:val="22"/>
          <w:szCs w:val="22"/>
        </w:rPr>
        <w:t xml:space="preserve"> </w:t>
      </w:r>
      <w:r w:rsidR="009305D3" w:rsidRPr="00E35248">
        <w:rPr>
          <w:sz w:val="22"/>
          <w:szCs w:val="22"/>
        </w:rPr>
        <w:t>The Cadmus Group</w:t>
      </w:r>
      <w:r w:rsidR="005F54E5" w:rsidRPr="00BF026C">
        <w:rPr>
          <w:sz w:val="22"/>
          <w:szCs w:val="22"/>
        </w:rPr>
        <w:t xml:space="preserve"> is the only responsible source able to perform th</w:t>
      </w:r>
      <w:r w:rsidR="005B7391" w:rsidRPr="00BF026C">
        <w:rPr>
          <w:sz w:val="22"/>
          <w:szCs w:val="22"/>
        </w:rPr>
        <w:t xml:space="preserve">e three </w:t>
      </w:r>
      <w:r w:rsidR="00A8173C" w:rsidRPr="00BF026C">
        <w:rPr>
          <w:sz w:val="22"/>
          <w:szCs w:val="22"/>
        </w:rPr>
        <w:t>and a half</w:t>
      </w:r>
      <w:r w:rsidR="005B7391" w:rsidRPr="00BF026C">
        <w:rPr>
          <w:sz w:val="22"/>
          <w:szCs w:val="22"/>
        </w:rPr>
        <w:t>-</w:t>
      </w:r>
      <w:r w:rsidR="005F54E5" w:rsidRPr="00BF026C">
        <w:rPr>
          <w:sz w:val="22"/>
          <w:szCs w:val="22"/>
        </w:rPr>
        <w:t xml:space="preserve">month effort due to its combination of expertise, knowledge, and familiarity with the ongoing projects required to meet EPA’s critical deadlines during the </w:t>
      </w:r>
      <w:r w:rsidR="00BF026C">
        <w:rPr>
          <w:sz w:val="22"/>
          <w:szCs w:val="22"/>
        </w:rPr>
        <w:t>three</w:t>
      </w:r>
      <w:r w:rsidR="00A8173C" w:rsidRPr="00BF026C">
        <w:rPr>
          <w:sz w:val="22"/>
          <w:szCs w:val="22"/>
        </w:rPr>
        <w:t xml:space="preserve"> and a half </w:t>
      </w:r>
      <w:r w:rsidR="005F54E5" w:rsidRPr="00BF026C">
        <w:rPr>
          <w:sz w:val="22"/>
          <w:szCs w:val="22"/>
        </w:rPr>
        <w:t xml:space="preserve">month period.  </w:t>
      </w:r>
    </w:p>
    <w:p w14:paraId="149F2E49" w14:textId="77777777" w:rsidR="005F54E5" w:rsidRPr="00B40D98" w:rsidRDefault="005F54E5" w:rsidP="001117E7">
      <w:pPr>
        <w:pStyle w:val="NormalWeb"/>
        <w:spacing w:before="0" w:beforeAutospacing="0" w:after="0" w:afterAutospacing="0"/>
        <w:rPr>
          <w:i/>
          <w:sz w:val="22"/>
          <w:szCs w:val="22"/>
        </w:rPr>
      </w:pPr>
    </w:p>
    <w:p w14:paraId="39BF56B3" w14:textId="77777777" w:rsidR="00B56867" w:rsidRPr="00B40D98" w:rsidRDefault="00B56867" w:rsidP="001117E7">
      <w:pPr>
        <w:pStyle w:val="NormalWeb"/>
        <w:spacing w:before="0" w:beforeAutospacing="0" w:after="0" w:afterAutospacing="0"/>
        <w:rPr>
          <w:i/>
          <w:sz w:val="22"/>
          <w:szCs w:val="22"/>
        </w:rPr>
      </w:pPr>
      <w:r w:rsidRPr="00B40D98">
        <w:rPr>
          <w:i/>
          <w:iCs/>
          <w:sz w:val="22"/>
          <w:szCs w:val="22"/>
        </w:rPr>
        <w:t xml:space="preserve">(3) </w:t>
      </w:r>
      <w:r w:rsidR="00582971" w:rsidRPr="00B40D98">
        <w:rPr>
          <w:i/>
          <w:sz w:val="22"/>
          <w:szCs w:val="22"/>
        </w:rPr>
        <w:t>D</w:t>
      </w:r>
      <w:r w:rsidRPr="00B40D98">
        <w:rPr>
          <w:i/>
          <w:sz w:val="22"/>
          <w:szCs w:val="22"/>
        </w:rPr>
        <w:t>escription of the supplies or services required to meet the agency’s needs (including the estimated value)</w:t>
      </w:r>
      <w:r w:rsidR="00582971" w:rsidRPr="00B40D98">
        <w:rPr>
          <w:i/>
          <w:sz w:val="22"/>
          <w:szCs w:val="22"/>
        </w:rPr>
        <w:t>:</w:t>
      </w:r>
    </w:p>
    <w:p w14:paraId="7C6DE2FF" w14:textId="77777777" w:rsidR="001117E7" w:rsidRPr="00A24B68" w:rsidRDefault="001117E7" w:rsidP="0011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rPr>
      </w:pPr>
    </w:p>
    <w:p w14:paraId="1EAA45E7" w14:textId="56BC5068" w:rsidR="00B40D98" w:rsidRPr="002A13D5" w:rsidRDefault="00B40D98" w:rsidP="00B40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sidRPr="002A13D5">
        <w:rPr>
          <w:rFonts w:ascii="Times New Roman" w:hAnsi="Times New Roman" w:cs="Times New Roman"/>
        </w:rPr>
        <w:t xml:space="preserve">Under this contract, the contractor provides </w:t>
      </w:r>
      <w:r w:rsidR="00871C31" w:rsidRPr="002A13D5">
        <w:rPr>
          <w:rFonts w:ascii="Times New Roman" w:eastAsia="Times New Roman" w:hAnsi="Times New Roman" w:cs="Times New Roman"/>
        </w:rPr>
        <w:t xml:space="preserve">services </w:t>
      </w:r>
      <w:r w:rsidR="00986985" w:rsidRPr="002A13D5">
        <w:rPr>
          <w:rFonts w:ascii="Times New Roman" w:hAnsi="Times New Roman" w:cs="Times New Roman"/>
        </w:rPr>
        <w:t xml:space="preserve">technical and </w:t>
      </w:r>
      <w:r w:rsidR="00EB0C3C" w:rsidRPr="002A13D5">
        <w:rPr>
          <w:rFonts w:ascii="Times New Roman" w:hAnsi="Times New Roman" w:cs="Times New Roman"/>
        </w:rPr>
        <w:t>analytical support</w:t>
      </w:r>
      <w:r w:rsidR="00986985" w:rsidRPr="002A13D5">
        <w:rPr>
          <w:rFonts w:ascii="Times New Roman" w:hAnsi="Times New Roman" w:cs="Times New Roman"/>
        </w:rPr>
        <w:t xml:space="preserve"> services to the </w:t>
      </w:r>
      <w:r w:rsidR="002A13D5" w:rsidRPr="002A13D5">
        <w:rPr>
          <w:rFonts w:ascii="Times New Roman" w:hAnsi="Times New Roman" w:cs="Times New Roman"/>
        </w:rPr>
        <w:t xml:space="preserve">Office of Ground Water </w:t>
      </w:r>
      <w:r w:rsidR="005B7391">
        <w:rPr>
          <w:rFonts w:ascii="Times New Roman" w:hAnsi="Times New Roman" w:cs="Times New Roman"/>
        </w:rPr>
        <w:t>and D</w:t>
      </w:r>
      <w:r w:rsidR="002A13D5" w:rsidRPr="002A13D5">
        <w:rPr>
          <w:rFonts w:ascii="Times New Roman" w:hAnsi="Times New Roman" w:cs="Times New Roman"/>
        </w:rPr>
        <w:t xml:space="preserve">rinking Water (OGWDW) including </w:t>
      </w:r>
      <w:r w:rsidR="002A13D5" w:rsidRPr="002A13D5">
        <w:rPr>
          <w:rFonts w:ascii="Times New Roman" w:eastAsia="Times New Roman" w:hAnsi="Times New Roman" w:cs="Times New Roman"/>
          <w:color w:val="000000"/>
        </w:rPr>
        <w:t xml:space="preserve">support for contaminant occurrence, cost/ benefit, economic, financial, and regulatory analyses, along with characterization of potential limitations of those analyses.  The contractor also provides technical and analytical support for environmental and analytical chemistry, primary and secondary environmental data collection, statistics, engineering, hydrology, hydrogeology, public health and risk assessment, system analysis, cost and benefit assessments, database management, Geographical Information Systems (GIS), and microbiology relating to the requirements of the Safe Drinking Water Act (SDWA) Amendments.  In addition, the contractor provides support for development of standards, criteria, and program mandates being considered by the Agency relative to the requirements of the SDWA Amendments and other statutes (such as Small Business Regulatory Enforcement Fairness Act (SBREFA) and Unfunded Mandates Reform Act (UMRA) already in place.  </w:t>
      </w:r>
      <w:r w:rsidRPr="002A13D5">
        <w:rPr>
          <w:rFonts w:ascii="Times New Roman" w:hAnsi="Times New Roman" w:cs="Times New Roman"/>
          <w:color w:val="000000"/>
        </w:rPr>
        <w:t xml:space="preserve">The </w:t>
      </w:r>
      <w:r w:rsidR="005B7391">
        <w:rPr>
          <w:rFonts w:ascii="Times New Roman" w:hAnsi="Times New Roman" w:cs="Times New Roman"/>
          <w:color w:val="000000"/>
        </w:rPr>
        <w:t>three</w:t>
      </w:r>
      <w:r w:rsidR="00A8173C">
        <w:rPr>
          <w:rFonts w:ascii="Times New Roman" w:hAnsi="Times New Roman" w:cs="Times New Roman"/>
          <w:color w:val="000000"/>
        </w:rPr>
        <w:t xml:space="preserve"> and a half</w:t>
      </w:r>
      <w:r w:rsidR="005B7391">
        <w:rPr>
          <w:rFonts w:ascii="Times New Roman" w:hAnsi="Times New Roman" w:cs="Times New Roman"/>
          <w:color w:val="000000"/>
        </w:rPr>
        <w:t>-</w:t>
      </w:r>
      <w:r w:rsidR="00A8173C">
        <w:rPr>
          <w:rFonts w:ascii="Times New Roman" w:hAnsi="Times New Roman" w:cs="Times New Roman"/>
          <w:color w:val="000000"/>
        </w:rPr>
        <w:t xml:space="preserve"> </w:t>
      </w:r>
      <w:r w:rsidRPr="002A13D5">
        <w:rPr>
          <w:rFonts w:ascii="Times New Roman" w:hAnsi="Times New Roman" w:cs="Times New Roman"/>
          <w:color w:val="000000"/>
        </w:rPr>
        <w:t xml:space="preserve">month extension is estimated at </w:t>
      </w:r>
      <w:r w:rsidR="00FF1D54" w:rsidRPr="00041AAA">
        <w:rPr>
          <w:rFonts w:ascii="Times New Roman" w:hAnsi="Times New Roman" w:cs="Times New Roman"/>
          <w:color w:val="000000"/>
        </w:rPr>
        <w:t>$</w:t>
      </w:r>
      <w:r w:rsidR="00816255">
        <w:rPr>
          <w:rFonts w:ascii="Times New Roman" w:hAnsi="Times New Roman" w:cs="Times New Roman"/>
          <w:color w:val="000000"/>
        </w:rPr>
        <w:t>XXX.</w:t>
      </w:r>
      <w:r w:rsidR="00041AAA" w:rsidRPr="00041AAA">
        <w:rPr>
          <w:rFonts w:ascii="Times New Roman" w:hAnsi="Times New Roman" w:cs="Times New Roman"/>
          <w:color w:val="000000"/>
        </w:rPr>
        <w:t xml:space="preserve">00 </w:t>
      </w:r>
      <w:r w:rsidRPr="00041AAA">
        <w:rPr>
          <w:rFonts w:ascii="Times New Roman" w:hAnsi="Times New Roman" w:cs="Times New Roman"/>
          <w:color w:val="000000"/>
        </w:rPr>
        <w:t xml:space="preserve">based on </w:t>
      </w:r>
      <w:r w:rsidR="00816255">
        <w:rPr>
          <w:rFonts w:ascii="Times New Roman" w:hAnsi="Times New Roman" w:cs="Times New Roman"/>
          <w:color w:val="000000"/>
        </w:rPr>
        <w:t>XXX</w:t>
      </w:r>
      <w:r w:rsidR="002F4A9C" w:rsidRPr="00041AAA">
        <w:rPr>
          <w:rFonts w:ascii="Times New Roman" w:hAnsi="Times New Roman" w:cs="Times New Roman"/>
          <w:color w:val="000000"/>
        </w:rPr>
        <w:t xml:space="preserve"> </w:t>
      </w:r>
      <w:r w:rsidRPr="00041AAA">
        <w:rPr>
          <w:rFonts w:ascii="Times New Roman" w:hAnsi="Times New Roman" w:cs="Times New Roman"/>
          <w:color w:val="000000"/>
        </w:rPr>
        <w:t xml:space="preserve"> </w:t>
      </w:r>
      <w:r w:rsidRPr="005B7391">
        <w:rPr>
          <w:rFonts w:ascii="Times New Roman" w:hAnsi="Times New Roman" w:cs="Times New Roman"/>
          <w:color w:val="000000"/>
        </w:rPr>
        <w:t>Lev</w:t>
      </w:r>
      <w:r w:rsidR="00871C31" w:rsidRPr="005B7391">
        <w:rPr>
          <w:rFonts w:ascii="Times New Roman" w:hAnsi="Times New Roman" w:cs="Times New Roman"/>
          <w:color w:val="000000"/>
        </w:rPr>
        <w:t>el of Effort (LOE) Hours</w:t>
      </w:r>
      <w:r w:rsidR="00871C31" w:rsidRPr="002A13D5">
        <w:rPr>
          <w:rFonts w:ascii="Times New Roman" w:hAnsi="Times New Roman" w:cs="Times New Roman"/>
          <w:color w:val="000000"/>
        </w:rPr>
        <w:t xml:space="preserve"> </w:t>
      </w:r>
      <w:r w:rsidRPr="002A13D5">
        <w:rPr>
          <w:rFonts w:ascii="Times New Roman" w:hAnsi="Times New Roman" w:cs="Times New Roman"/>
          <w:color w:val="000000"/>
        </w:rPr>
        <w:t xml:space="preserve">from </w:t>
      </w:r>
      <w:r w:rsidR="00A8173C">
        <w:rPr>
          <w:rFonts w:ascii="Times New Roman" w:hAnsi="Times New Roman" w:cs="Times New Roman"/>
          <w:color w:val="000000"/>
        </w:rPr>
        <w:t>June 1, 2020</w:t>
      </w:r>
      <w:r w:rsidRPr="002A13D5">
        <w:rPr>
          <w:rFonts w:ascii="Times New Roman" w:hAnsi="Times New Roman" w:cs="Times New Roman"/>
          <w:color w:val="000000"/>
        </w:rPr>
        <w:t xml:space="preserve"> – </w:t>
      </w:r>
      <w:r w:rsidR="00A8173C">
        <w:rPr>
          <w:rFonts w:ascii="Times New Roman" w:hAnsi="Times New Roman" w:cs="Times New Roman"/>
          <w:color w:val="000000"/>
        </w:rPr>
        <w:t>September 25</w:t>
      </w:r>
      <w:r w:rsidR="00F01FB5">
        <w:rPr>
          <w:rFonts w:ascii="Times New Roman" w:hAnsi="Times New Roman" w:cs="Times New Roman"/>
          <w:color w:val="000000"/>
        </w:rPr>
        <w:t>, 2020</w:t>
      </w:r>
      <w:r w:rsidRPr="002A13D5">
        <w:rPr>
          <w:rFonts w:ascii="Times New Roman" w:hAnsi="Times New Roman" w:cs="Times New Roman"/>
          <w:color w:val="000000"/>
        </w:rPr>
        <w:t>.</w:t>
      </w:r>
    </w:p>
    <w:p w14:paraId="05486CBD" w14:textId="77777777" w:rsidR="00B40D98" w:rsidRPr="002A13D5" w:rsidRDefault="00B40D98" w:rsidP="00111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rPr>
      </w:pPr>
    </w:p>
    <w:p w14:paraId="46803C84" w14:textId="77777777" w:rsidR="00304E8C" w:rsidRPr="00340ECB" w:rsidRDefault="00B56867" w:rsidP="001117E7">
      <w:pPr>
        <w:pStyle w:val="NormalWeb"/>
        <w:spacing w:before="0" w:beforeAutospacing="0" w:after="0" w:afterAutospacing="0"/>
        <w:rPr>
          <w:i/>
          <w:sz w:val="22"/>
          <w:szCs w:val="22"/>
        </w:rPr>
      </w:pPr>
      <w:r w:rsidRPr="00340ECB">
        <w:rPr>
          <w:i/>
          <w:iCs/>
          <w:sz w:val="22"/>
          <w:szCs w:val="22"/>
        </w:rPr>
        <w:t xml:space="preserve">(4) </w:t>
      </w:r>
      <w:r w:rsidR="00B40D98" w:rsidRPr="00340ECB">
        <w:rPr>
          <w:i/>
          <w:sz w:val="22"/>
          <w:szCs w:val="22"/>
        </w:rPr>
        <w:t>An identification of the statutory authority permitting other than full and open competition</w:t>
      </w:r>
      <w:r w:rsidR="00304E8C" w:rsidRPr="00340ECB">
        <w:rPr>
          <w:i/>
          <w:sz w:val="22"/>
          <w:szCs w:val="22"/>
        </w:rPr>
        <w:t>:</w:t>
      </w:r>
    </w:p>
    <w:p w14:paraId="409E7416" w14:textId="77777777" w:rsidR="001117E7" w:rsidRPr="00B40D98" w:rsidRDefault="001117E7" w:rsidP="001117E7">
      <w:pPr>
        <w:pStyle w:val="NormalWeb"/>
        <w:spacing w:before="0" w:beforeAutospacing="0" w:after="0" w:afterAutospacing="0"/>
        <w:rPr>
          <w:sz w:val="22"/>
          <w:szCs w:val="22"/>
        </w:rPr>
      </w:pPr>
    </w:p>
    <w:p w14:paraId="19D84B8F" w14:textId="67655E4C" w:rsidR="001117E7" w:rsidRPr="00B40D98" w:rsidRDefault="00B40D98" w:rsidP="001117E7">
      <w:pPr>
        <w:pStyle w:val="NormalWeb"/>
        <w:spacing w:before="0" w:beforeAutospacing="0" w:after="0" w:afterAutospacing="0"/>
        <w:rPr>
          <w:iCs/>
          <w:sz w:val="22"/>
          <w:szCs w:val="22"/>
        </w:rPr>
      </w:pPr>
      <w:r w:rsidRPr="00B40D98">
        <w:rPr>
          <w:iCs/>
          <w:sz w:val="22"/>
          <w:szCs w:val="22"/>
        </w:rPr>
        <w:t xml:space="preserve">The authority for this action is 41 U.S.C. </w:t>
      </w:r>
      <w:r w:rsidR="00982185">
        <w:rPr>
          <w:iCs/>
          <w:sz w:val="22"/>
          <w:szCs w:val="22"/>
        </w:rPr>
        <w:t>3304(a)(1)</w:t>
      </w:r>
      <w:r w:rsidRPr="00B40D98">
        <w:rPr>
          <w:iCs/>
          <w:sz w:val="22"/>
          <w:szCs w:val="22"/>
        </w:rPr>
        <w:t>, FAR cite 6.302-1 “Only One Responsible Source”</w:t>
      </w:r>
    </w:p>
    <w:p w14:paraId="19D75F14" w14:textId="77777777" w:rsidR="00B40D98" w:rsidRPr="00B40D98" w:rsidRDefault="00B40D98" w:rsidP="001117E7">
      <w:pPr>
        <w:pStyle w:val="NormalWeb"/>
        <w:spacing w:before="0" w:beforeAutospacing="0" w:after="0" w:afterAutospacing="0"/>
        <w:rPr>
          <w:i/>
          <w:iCs/>
          <w:sz w:val="22"/>
          <w:szCs w:val="22"/>
        </w:rPr>
      </w:pPr>
    </w:p>
    <w:p w14:paraId="76674998" w14:textId="77777777" w:rsidR="00B40D98" w:rsidRPr="00B40D98" w:rsidRDefault="00B56867" w:rsidP="001117E7">
      <w:pPr>
        <w:pStyle w:val="NormalWeb"/>
        <w:spacing w:before="0" w:beforeAutospacing="0" w:after="0" w:afterAutospacing="0"/>
        <w:rPr>
          <w:i/>
          <w:sz w:val="22"/>
          <w:szCs w:val="22"/>
        </w:rPr>
      </w:pPr>
      <w:r w:rsidRPr="00B40D98">
        <w:rPr>
          <w:i/>
          <w:iCs/>
          <w:sz w:val="22"/>
          <w:szCs w:val="22"/>
        </w:rPr>
        <w:t xml:space="preserve">(5) </w:t>
      </w:r>
      <w:r w:rsidR="00B40D98" w:rsidRPr="00B40D98">
        <w:rPr>
          <w:i/>
          <w:sz w:val="22"/>
          <w:szCs w:val="22"/>
        </w:rPr>
        <w:t>A demonstration that the proposed contractor’s unique qualifications or the nature of the acquisition requires use of the authority cited.</w:t>
      </w:r>
    </w:p>
    <w:p w14:paraId="737F496C" w14:textId="77777777" w:rsidR="00B40D98" w:rsidRPr="00B40D98" w:rsidRDefault="00B40D98" w:rsidP="001117E7">
      <w:pPr>
        <w:pStyle w:val="NormalWeb"/>
        <w:spacing w:before="0" w:beforeAutospacing="0" w:after="0" w:afterAutospacing="0"/>
        <w:rPr>
          <w:sz w:val="22"/>
          <w:szCs w:val="22"/>
        </w:rPr>
      </w:pPr>
    </w:p>
    <w:p w14:paraId="7530A227" w14:textId="08FCD70F" w:rsidR="00887372" w:rsidRPr="006A01E7" w:rsidRDefault="00B40D98" w:rsidP="00887372">
      <w:pPr>
        <w:autoSpaceDE w:val="0"/>
        <w:autoSpaceDN w:val="0"/>
        <w:adjustRightInd w:val="0"/>
        <w:spacing w:after="0" w:line="240" w:lineRule="auto"/>
        <w:rPr>
          <w:rFonts w:ascii="Times New Roman" w:hAnsi="Times New Roman" w:cs="Times New Roman"/>
        </w:rPr>
      </w:pPr>
      <w:r w:rsidRPr="006A01E7">
        <w:rPr>
          <w:rFonts w:ascii="Times New Roman" w:hAnsi="Times New Roman" w:cs="Times New Roman"/>
        </w:rPr>
        <w:t xml:space="preserve">This contract was originally procured using full and open competition procedures.  This firm has satisfactorily performed the services for the past </w:t>
      </w:r>
      <w:r w:rsidR="005B5C7E" w:rsidRPr="006A01E7">
        <w:rPr>
          <w:rFonts w:ascii="Times New Roman" w:hAnsi="Times New Roman" w:cs="Times New Roman"/>
        </w:rPr>
        <w:t>six</w:t>
      </w:r>
      <w:r w:rsidRPr="006A01E7">
        <w:rPr>
          <w:rFonts w:ascii="Times New Roman" w:hAnsi="Times New Roman" w:cs="Times New Roman"/>
        </w:rPr>
        <w:t xml:space="preserve"> years.  The support services performed under this contract are critical to EPA’s mission and any delays or interruptions</w:t>
      </w:r>
      <w:r w:rsidR="003F05C0" w:rsidRPr="006A01E7">
        <w:rPr>
          <w:rFonts w:ascii="Times New Roman" w:hAnsi="Times New Roman" w:cs="Times New Roman"/>
        </w:rPr>
        <w:t xml:space="preserve"> would be unacceptable and damaging to the U.S. </w:t>
      </w:r>
      <w:r w:rsidR="00887372" w:rsidRPr="006A01E7">
        <w:rPr>
          <w:rFonts w:ascii="Times New Roman" w:hAnsi="Times New Roman" w:cs="Times New Roman"/>
        </w:rPr>
        <w:t>SRMD’</w:t>
      </w:r>
      <w:r w:rsidR="00871C31" w:rsidRPr="006A01E7">
        <w:rPr>
          <w:rFonts w:ascii="Times New Roman" w:hAnsi="Times New Roman" w:cs="Times New Roman"/>
        </w:rPr>
        <w:t xml:space="preserve">s </w:t>
      </w:r>
      <w:r w:rsidR="00871C31" w:rsidRPr="006A01E7">
        <w:rPr>
          <w:rFonts w:ascii="Times New Roman" w:hAnsi="Times New Roman" w:cs="Times New Roman"/>
        </w:rPr>
        <w:lastRenderedPageBreak/>
        <w:t>responsibilities u</w:t>
      </w:r>
      <w:r w:rsidR="003D37D4" w:rsidRPr="006A01E7">
        <w:rPr>
          <w:rFonts w:ascii="Times New Roman" w:hAnsi="Times New Roman" w:cs="Times New Roman"/>
        </w:rPr>
        <w:t>nder the Clean Water Act</w:t>
      </w:r>
      <w:r w:rsidR="00871C31" w:rsidRPr="006A01E7">
        <w:rPr>
          <w:rFonts w:ascii="Times New Roman" w:hAnsi="Times New Roman" w:cs="Times New Roman"/>
        </w:rPr>
        <w:t xml:space="preserve"> (CWA) and </w:t>
      </w:r>
      <w:r w:rsidR="003D37D4" w:rsidRPr="006A01E7">
        <w:rPr>
          <w:rFonts w:ascii="Times New Roman" w:hAnsi="Times New Roman" w:cs="Times New Roman"/>
        </w:rPr>
        <w:t>Safe Drinking Water Act (SDWA)</w:t>
      </w:r>
      <w:r w:rsidR="00887372" w:rsidRPr="006A01E7">
        <w:rPr>
          <w:rFonts w:ascii="Times New Roman" w:hAnsi="Times New Roman" w:cs="Times New Roman"/>
        </w:rPr>
        <w:t xml:space="preserve">  by ensuring public water systems nationwide meet national standards, the public’s exposure to contaminants in</w:t>
      </w:r>
      <w:r w:rsidR="006A01E7" w:rsidRPr="006A01E7">
        <w:rPr>
          <w:rFonts w:ascii="Times New Roman" w:hAnsi="Times New Roman" w:cs="Times New Roman"/>
        </w:rPr>
        <w:t xml:space="preserve"> </w:t>
      </w:r>
      <w:r w:rsidR="00887372" w:rsidRPr="006A01E7">
        <w:rPr>
          <w:rFonts w:ascii="Times New Roman" w:hAnsi="Times New Roman" w:cs="Times New Roman"/>
        </w:rPr>
        <w:t>drinking water is reduced, and public health is protected. The Act requires EPA to identify</w:t>
      </w:r>
      <w:r w:rsidR="006A01E7" w:rsidRPr="006A01E7">
        <w:rPr>
          <w:rFonts w:ascii="Times New Roman" w:hAnsi="Times New Roman" w:cs="Times New Roman"/>
        </w:rPr>
        <w:t xml:space="preserve"> </w:t>
      </w:r>
      <w:r w:rsidR="00887372" w:rsidRPr="006A01E7">
        <w:rPr>
          <w:rFonts w:ascii="Times New Roman" w:hAnsi="Times New Roman" w:cs="Times New Roman"/>
        </w:rPr>
        <w:t>drinking water contaminant candidates and to gather information on these contaminants to</w:t>
      </w:r>
      <w:r w:rsidR="006A01E7" w:rsidRPr="006A01E7">
        <w:rPr>
          <w:rFonts w:ascii="Times New Roman" w:hAnsi="Times New Roman" w:cs="Times New Roman"/>
        </w:rPr>
        <w:t xml:space="preserve"> </w:t>
      </w:r>
      <w:r w:rsidR="00887372" w:rsidRPr="006A01E7">
        <w:rPr>
          <w:rFonts w:ascii="Times New Roman" w:hAnsi="Times New Roman" w:cs="Times New Roman"/>
        </w:rPr>
        <w:t>assess whether they require regulation. The Act also requires EPA to regulate contaminants that</w:t>
      </w:r>
      <w:r w:rsidR="006A01E7">
        <w:rPr>
          <w:rFonts w:ascii="Times New Roman" w:hAnsi="Times New Roman" w:cs="Times New Roman"/>
        </w:rPr>
        <w:t xml:space="preserve"> </w:t>
      </w:r>
      <w:r w:rsidR="00887372" w:rsidRPr="006A01E7">
        <w:rPr>
          <w:rFonts w:ascii="Times New Roman" w:hAnsi="Times New Roman" w:cs="Times New Roman"/>
        </w:rPr>
        <w:t>present health risks</w:t>
      </w:r>
      <w:r w:rsidR="005B7391">
        <w:rPr>
          <w:rFonts w:ascii="Times New Roman" w:hAnsi="Times New Roman" w:cs="Times New Roman"/>
        </w:rPr>
        <w:t xml:space="preserve"> that</w:t>
      </w:r>
      <w:r w:rsidR="00887372" w:rsidRPr="006A01E7">
        <w:rPr>
          <w:rFonts w:ascii="Times New Roman" w:hAnsi="Times New Roman" w:cs="Times New Roman"/>
        </w:rPr>
        <w:t xml:space="preserve"> are known to, or are likely to, occur in public drinking water supplies and</w:t>
      </w:r>
      <w:r w:rsidR="006A01E7">
        <w:rPr>
          <w:rFonts w:ascii="Times New Roman" w:hAnsi="Times New Roman" w:cs="Times New Roman"/>
        </w:rPr>
        <w:t xml:space="preserve"> </w:t>
      </w:r>
      <w:r w:rsidR="00887372" w:rsidRPr="006A01E7">
        <w:rPr>
          <w:rFonts w:ascii="Times New Roman" w:hAnsi="Times New Roman" w:cs="Times New Roman"/>
        </w:rPr>
        <w:t>that present a meaningful opportunity for health risk reduction. EPA is also required to review</w:t>
      </w:r>
    </w:p>
    <w:p w14:paraId="65C99DFD" w14:textId="167EB6DA" w:rsidR="00B40D98" w:rsidRPr="006A01E7" w:rsidRDefault="00887372" w:rsidP="006A01E7">
      <w:pPr>
        <w:pStyle w:val="NormalWeb"/>
        <w:spacing w:before="0" w:beforeAutospacing="0" w:after="0" w:afterAutospacing="0"/>
        <w:rPr>
          <w:sz w:val="22"/>
          <w:szCs w:val="22"/>
        </w:rPr>
      </w:pPr>
      <w:r w:rsidRPr="006A01E7">
        <w:rPr>
          <w:sz w:val="22"/>
          <w:szCs w:val="22"/>
        </w:rPr>
        <w:t>existing regulations every six years and revise as appropriate.</w:t>
      </w:r>
      <w:r w:rsidR="00E92883" w:rsidRPr="006A01E7">
        <w:rPr>
          <w:sz w:val="22"/>
          <w:szCs w:val="22"/>
        </w:rPr>
        <w:t xml:space="preserve"> </w:t>
      </w:r>
      <w:r w:rsidR="00871C31" w:rsidRPr="006A01E7">
        <w:rPr>
          <w:sz w:val="22"/>
          <w:szCs w:val="22"/>
        </w:rPr>
        <w:t xml:space="preserve"> </w:t>
      </w:r>
      <w:r w:rsidR="003F05C0" w:rsidRPr="006A01E7">
        <w:rPr>
          <w:sz w:val="22"/>
          <w:szCs w:val="22"/>
        </w:rPr>
        <w:t xml:space="preserve">Work performed spans a multitude of diverse topics with </w:t>
      </w:r>
      <w:r w:rsidR="005B7391">
        <w:rPr>
          <w:sz w:val="22"/>
          <w:szCs w:val="22"/>
        </w:rPr>
        <w:t>3</w:t>
      </w:r>
      <w:r w:rsidR="003F05C0" w:rsidRPr="006A01E7">
        <w:rPr>
          <w:sz w:val="22"/>
          <w:szCs w:val="22"/>
        </w:rPr>
        <w:t xml:space="preserve"> work assignments</w:t>
      </w:r>
      <w:r w:rsidR="00340ECB" w:rsidRPr="006A01E7">
        <w:rPr>
          <w:sz w:val="22"/>
          <w:szCs w:val="22"/>
        </w:rPr>
        <w:t xml:space="preserve"> under the </w:t>
      </w:r>
      <w:r w:rsidR="005B7391">
        <w:rPr>
          <w:sz w:val="22"/>
          <w:szCs w:val="22"/>
        </w:rPr>
        <w:t>proposed</w:t>
      </w:r>
      <w:r w:rsidR="00340ECB" w:rsidRPr="006A01E7">
        <w:rPr>
          <w:sz w:val="22"/>
          <w:szCs w:val="22"/>
        </w:rPr>
        <w:t xml:space="preserve"> peri</w:t>
      </w:r>
      <w:bookmarkStart w:id="0" w:name="_GoBack"/>
      <w:bookmarkEnd w:id="0"/>
      <w:r w:rsidR="00340ECB" w:rsidRPr="006A01E7">
        <w:rPr>
          <w:sz w:val="22"/>
          <w:szCs w:val="22"/>
        </w:rPr>
        <w:t>od</w:t>
      </w:r>
      <w:r w:rsidR="003F05C0" w:rsidRPr="00587C78">
        <w:rPr>
          <w:sz w:val="22"/>
          <w:szCs w:val="22"/>
        </w:rPr>
        <w:t xml:space="preserve">. </w:t>
      </w:r>
      <w:r w:rsidR="005B7391" w:rsidRPr="00587C78">
        <w:rPr>
          <w:sz w:val="22"/>
          <w:szCs w:val="22"/>
        </w:rPr>
        <w:t xml:space="preserve"> Work Assignment 9-08 covers the development of unit cost values and technical support documents for the Lead and Copper Rule (LCR) Revisions. This project is the top regulatory priority for the Office of Water and the signature date for the rule is scheduled for September 4, 2020. The Cadmus work on this project is critical to the completion of the economic analysis of the final LCR rule requirements. The contractor is currently in the process of revising a number of the unit costs values including the cost of lead service line replacements and the number of PWSs triggering into regulatory requirement as a result of changing tap sampling requirements in the regulation. As </w:t>
      </w:r>
      <w:r w:rsidR="00041AAA" w:rsidRPr="00587C78">
        <w:rPr>
          <w:sz w:val="22"/>
          <w:szCs w:val="22"/>
        </w:rPr>
        <w:t>the Agency</w:t>
      </w:r>
      <w:r w:rsidR="005B7391" w:rsidRPr="00587C78">
        <w:rPr>
          <w:sz w:val="22"/>
          <w:szCs w:val="22"/>
        </w:rPr>
        <w:t xml:space="preserve"> complete</w:t>
      </w:r>
      <w:r w:rsidR="00041AAA" w:rsidRPr="00587C78">
        <w:rPr>
          <w:sz w:val="22"/>
          <w:szCs w:val="22"/>
        </w:rPr>
        <w:t>s</w:t>
      </w:r>
      <w:r w:rsidR="005B7391" w:rsidRPr="00587C78">
        <w:rPr>
          <w:sz w:val="22"/>
          <w:szCs w:val="22"/>
        </w:rPr>
        <w:t xml:space="preserve"> the documentation of the analysis and move into OMB EO 12866 review of the regulatory analysis it will be important to have the Cadmus team of engineers ready to assist EPA in responding to OMB comments and any re-analysis of the regulatory requirements that may result from interactions with OMB. </w:t>
      </w:r>
      <w:bookmarkStart w:id="1" w:name="_Hlk39761127"/>
      <w:r w:rsidR="005B7391" w:rsidRPr="00587C78">
        <w:rPr>
          <w:sz w:val="22"/>
          <w:szCs w:val="22"/>
        </w:rPr>
        <w:t xml:space="preserve">Work Assignment 9-05 covers the development and implementation of the Unregulated Contaminant Monitoring Rule (UCMR). This project is </w:t>
      </w:r>
      <w:r w:rsidR="00041AAA" w:rsidRPr="00587C78">
        <w:rPr>
          <w:sz w:val="22"/>
          <w:szCs w:val="22"/>
        </w:rPr>
        <w:t>a</w:t>
      </w:r>
      <w:r w:rsidR="005B7391" w:rsidRPr="00587C78">
        <w:rPr>
          <w:sz w:val="22"/>
          <w:szCs w:val="22"/>
        </w:rPr>
        <w:t xml:space="preserve"> top priority for the Office of Water b</w:t>
      </w:r>
      <w:r w:rsidR="00041AAA" w:rsidRPr="00587C78">
        <w:rPr>
          <w:sz w:val="22"/>
          <w:szCs w:val="22"/>
        </w:rPr>
        <w:t>as it</w:t>
      </w:r>
      <w:r w:rsidR="005B7391" w:rsidRPr="00587C78">
        <w:rPr>
          <w:sz w:val="22"/>
          <w:szCs w:val="22"/>
        </w:rPr>
        <w:t xml:space="preserve"> fulfills a key commitment in “EPA’s 2019 Per- and Polyfluoroalkyl Substances (PFAS) Action Plan,” and the signature date for the rule is scheduled for September 2020. The Cadmus work on this project is critical to the completion of the economic analysis of the proposed </w:t>
      </w:r>
      <w:bookmarkEnd w:id="1"/>
      <w:r w:rsidR="005B7391" w:rsidRPr="00587C78">
        <w:rPr>
          <w:sz w:val="22"/>
          <w:szCs w:val="22"/>
        </w:rPr>
        <w:t>UCMR requirements. The contractor is currently in the process of revising a number of costs values, and preparing for public involvement and implementation once the rule is proposed. Work Assignment 9-32 covers the development of a final rule for the fourth round of Regulatory Determinations which includes making final regulatory determinations for perfluorooctanesulfonic acid (PFOS) and perfluorooctanoic acid (PFOA). The Cadmus work on this project is critical to the development of the materials to be submitted to OMB including analysis of contaminant occurrence data; the development and updating of supporting documents and an administrative record; the development of technical input relating to a response to public comment document; and other technical and programmatic support.</w:t>
      </w:r>
      <w:r w:rsidR="005B7391">
        <w:rPr>
          <w:sz w:val="22"/>
          <w:szCs w:val="22"/>
        </w:rPr>
        <w:t xml:space="preserve">  </w:t>
      </w:r>
      <w:r w:rsidR="006A01E7" w:rsidRPr="006A01E7">
        <w:rPr>
          <w:sz w:val="22"/>
          <w:szCs w:val="22"/>
        </w:rPr>
        <w:t>The Cadmus Group’s</w:t>
      </w:r>
      <w:r w:rsidR="003F05C0" w:rsidRPr="006A01E7">
        <w:rPr>
          <w:sz w:val="22"/>
          <w:szCs w:val="22"/>
        </w:rPr>
        <w:t xml:space="preserve"> combination of knowledge of the program areas, its support staff, and their familiarity with the ongoing projects, places them in the position of being the only possible contractor which can meet EPA’s critical deadlines during the </w:t>
      </w:r>
      <w:r w:rsidR="005B7391">
        <w:rPr>
          <w:sz w:val="22"/>
          <w:szCs w:val="22"/>
        </w:rPr>
        <w:t xml:space="preserve">three </w:t>
      </w:r>
      <w:r w:rsidR="00A8173C">
        <w:rPr>
          <w:sz w:val="22"/>
          <w:szCs w:val="22"/>
        </w:rPr>
        <w:t>and a half</w:t>
      </w:r>
      <w:r w:rsidR="005B7391">
        <w:rPr>
          <w:sz w:val="22"/>
          <w:szCs w:val="22"/>
        </w:rPr>
        <w:t>-</w:t>
      </w:r>
      <w:r w:rsidR="00A8173C">
        <w:rPr>
          <w:sz w:val="22"/>
          <w:szCs w:val="22"/>
        </w:rPr>
        <w:t xml:space="preserve"> </w:t>
      </w:r>
      <w:r w:rsidR="003F05C0" w:rsidRPr="006A01E7">
        <w:rPr>
          <w:sz w:val="22"/>
          <w:szCs w:val="22"/>
        </w:rPr>
        <w:t>month</w:t>
      </w:r>
      <w:r w:rsidR="00CD0A8C" w:rsidRPr="006A01E7">
        <w:rPr>
          <w:sz w:val="22"/>
          <w:szCs w:val="22"/>
        </w:rPr>
        <w:t xml:space="preserve"> extension to Option Period </w:t>
      </w:r>
      <w:r w:rsidR="005B7391">
        <w:rPr>
          <w:sz w:val="22"/>
          <w:szCs w:val="22"/>
        </w:rPr>
        <w:t>9</w:t>
      </w:r>
      <w:r w:rsidR="009305D3" w:rsidRPr="006A01E7">
        <w:rPr>
          <w:sz w:val="22"/>
          <w:szCs w:val="22"/>
        </w:rPr>
        <w:t xml:space="preserve"> </w:t>
      </w:r>
      <w:r w:rsidR="00CD0A8C" w:rsidRPr="006A01E7">
        <w:rPr>
          <w:sz w:val="22"/>
          <w:szCs w:val="22"/>
        </w:rPr>
        <w:t xml:space="preserve">until </w:t>
      </w:r>
      <w:r w:rsidR="00A8173C">
        <w:rPr>
          <w:sz w:val="22"/>
          <w:szCs w:val="22"/>
        </w:rPr>
        <w:t>September 25</w:t>
      </w:r>
      <w:r w:rsidR="00F01FB5">
        <w:rPr>
          <w:sz w:val="22"/>
          <w:szCs w:val="22"/>
        </w:rPr>
        <w:t>, 2020</w:t>
      </w:r>
      <w:r w:rsidR="00CD0A8C" w:rsidRPr="006A01E7">
        <w:rPr>
          <w:sz w:val="22"/>
          <w:szCs w:val="22"/>
        </w:rPr>
        <w:t xml:space="preserve">. </w:t>
      </w:r>
    </w:p>
    <w:p w14:paraId="02BEDB70" w14:textId="77777777" w:rsidR="00B40D98" w:rsidRPr="003F05C0" w:rsidRDefault="00B56867" w:rsidP="00B40D98">
      <w:pPr>
        <w:pStyle w:val="NormalWeb"/>
        <w:rPr>
          <w:i/>
          <w:sz w:val="22"/>
          <w:szCs w:val="22"/>
        </w:rPr>
      </w:pPr>
      <w:r w:rsidRPr="003F05C0">
        <w:rPr>
          <w:i/>
          <w:iCs/>
          <w:sz w:val="22"/>
          <w:szCs w:val="22"/>
        </w:rPr>
        <w:t xml:space="preserve">(6) </w:t>
      </w:r>
      <w:r w:rsidR="00B40D98" w:rsidRPr="003F05C0">
        <w:rPr>
          <w:i/>
          <w:sz w:val="22"/>
          <w:szCs w:val="22"/>
        </w:rPr>
        <w:t xml:space="preserve">A description of efforts made to ensure that offers are solicited from as many potential sources as is practicable, including whether a notice was or will be publicized as required by </w:t>
      </w:r>
      <w:hyperlink r:id="rId6" w:anchor="P55_9282" w:tgtFrame="_blank" w:history="1">
        <w:r w:rsidR="00B40D98" w:rsidRPr="003F05C0">
          <w:rPr>
            <w:rStyle w:val="Hyperlink"/>
            <w:rFonts w:ascii="Calibri" w:hAnsi="Calibri"/>
            <w:i/>
            <w:sz w:val="22"/>
            <w:szCs w:val="22"/>
          </w:rPr>
          <w:t>Subpart 5.2</w:t>
        </w:r>
      </w:hyperlink>
      <w:r w:rsidR="00B40D98" w:rsidRPr="003F05C0">
        <w:rPr>
          <w:i/>
          <w:sz w:val="22"/>
          <w:szCs w:val="22"/>
        </w:rPr>
        <w:t xml:space="preserve"> and, if not, which exception under </w:t>
      </w:r>
      <w:hyperlink r:id="rId7" w:anchor="P66_10441" w:tgtFrame="_blank" w:history="1">
        <w:r w:rsidR="00B40D98" w:rsidRPr="003F05C0">
          <w:rPr>
            <w:rStyle w:val="Hyperlink"/>
            <w:rFonts w:ascii="Calibri" w:hAnsi="Calibri"/>
            <w:i/>
            <w:sz w:val="22"/>
            <w:szCs w:val="22"/>
          </w:rPr>
          <w:t>5.202</w:t>
        </w:r>
      </w:hyperlink>
      <w:r w:rsidR="00B40D98" w:rsidRPr="003F05C0">
        <w:rPr>
          <w:i/>
          <w:sz w:val="22"/>
          <w:szCs w:val="22"/>
        </w:rPr>
        <w:t xml:space="preserve"> applies.</w:t>
      </w:r>
    </w:p>
    <w:p w14:paraId="6EF51A12" w14:textId="77777777" w:rsidR="005F0EA1" w:rsidRDefault="005F0EA1" w:rsidP="00B40D98">
      <w:pPr>
        <w:pStyle w:val="NormalWeb"/>
        <w:rPr>
          <w:sz w:val="22"/>
          <w:szCs w:val="22"/>
        </w:rPr>
      </w:pPr>
      <w:r>
        <w:rPr>
          <w:sz w:val="22"/>
          <w:szCs w:val="22"/>
        </w:rPr>
        <w:t xml:space="preserve">In accordance with Subpart 5.202 exception (a) (11) applies.  The proposed contract action is made under the terms of an existing contact that was previously synopsized in sufficient detail to comply with the requirements of 5.207 with respect to the current proposed contract action. </w:t>
      </w:r>
    </w:p>
    <w:p w14:paraId="4BF62232" w14:textId="77777777" w:rsidR="001117E7" w:rsidRPr="006D2E21" w:rsidRDefault="00B56867" w:rsidP="00B40D98">
      <w:pPr>
        <w:pStyle w:val="NormalWeb"/>
        <w:rPr>
          <w:i/>
          <w:sz w:val="22"/>
          <w:szCs w:val="22"/>
        </w:rPr>
      </w:pPr>
      <w:r w:rsidRPr="006D2E21">
        <w:rPr>
          <w:i/>
          <w:iCs/>
          <w:sz w:val="22"/>
          <w:szCs w:val="22"/>
        </w:rPr>
        <w:t xml:space="preserve">(7) </w:t>
      </w:r>
      <w:r w:rsidR="00B40D98" w:rsidRPr="006D2E21">
        <w:rPr>
          <w:i/>
          <w:sz w:val="22"/>
          <w:szCs w:val="22"/>
        </w:rPr>
        <w:t>A determination by the contracting officer that the anticipated cost to the Government will be fair and reasonable.</w:t>
      </w:r>
    </w:p>
    <w:p w14:paraId="3C8ABA19" w14:textId="77777777" w:rsidR="00FB76B7" w:rsidRPr="00186980" w:rsidRDefault="00FB76B7" w:rsidP="00B40D98">
      <w:pPr>
        <w:pStyle w:val="NormalWeb"/>
        <w:rPr>
          <w:i/>
          <w:iCs/>
          <w:sz w:val="22"/>
          <w:szCs w:val="22"/>
        </w:rPr>
      </w:pPr>
      <w:r>
        <w:rPr>
          <w:sz w:val="22"/>
          <w:szCs w:val="22"/>
        </w:rPr>
        <w:t xml:space="preserve">The </w:t>
      </w:r>
      <w:r w:rsidR="006D2E21">
        <w:rPr>
          <w:sz w:val="22"/>
          <w:szCs w:val="22"/>
        </w:rPr>
        <w:t xml:space="preserve">anticipated cost to the Government is expected to be fair and reasonable </w:t>
      </w:r>
      <w:r w:rsidR="006D2E21" w:rsidRPr="00186980">
        <w:rPr>
          <w:sz w:val="22"/>
          <w:szCs w:val="22"/>
        </w:rPr>
        <w:t xml:space="preserve">because </w:t>
      </w:r>
      <w:r w:rsidR="00186980" w:rsidRPr="00186980">
        <w:rPr>
          <w:color w:val="000000"/>
          <w:sz w:val="22"/>
          <w:szCs w:val="22"/>
        </w:rPr>
        <w:t xml:space="preserve">the </w:t>
      </w:r>
      <w:r w:rsidR="00CD0A8C">
        <w:rPr>
          <w:color w:val="000000"/>
          <w:sz w:val="22"/>
          <w:szCs w:val="22"/>
        </w:rPr>
        <w:t xml:space="preserve">Contracting Officer Representative (COR) </w:t>
      </w:r>
      <w:r w:rsidR="00CD0A8C" w:rsidRPr="00186980">
        <w:rPr>
          <w:color w:val="000000"/>
          <w:sz w:val="22"/>
          <w:szCs w:val="22"/>
        </w:rPr>
        <w:t>and</w:t>
      </w:r>
      <w:r w:rsidR="00186980" w:rsidRPr="00186980">
        <w:rPr>
          <w:color w:val="000000"/>
          <w:sz w:val="22"/>
          <w:szCs w:val="22"/>
        </w:rPr>
        <w:t xml:space="preserve"> technical expert staff has knowledge and expertise in this area, and is well aware of the costs to perform these services</w:t>
      </w:r>
      <w:r w:rsidR="006D2E21" w:rsidRPr="00186980">
        <w:rPr>
          <w:sz w:val="22"/>
          <w:szCs w:val="22"/>
        </w:rPr>
        <w:t xml:space="preserve">.  The </w:t>
      </w:r>
      <w:r w:rsidR="00CD0A8C">
        <w:rPr>
          <w:sz w:val="22"/>
          <w:szCs w:val="22"/>
        </w:rPr>
        <w:t>COR</w:t>
      </w:r>
      <w:r w:rsidR="006D2E21" w:rsidRPr="00186980">
        <w:rPr>
          <w:sz w:val="22"/>
          <w:szCs w:val="22"/>
        </w:rPr>
        <w:t xml:space="preserve"> has experience with overseeing this contract effort and can assist to insure that any cost proposal accepted by the Government is fair and reasonable.  </w:t>
      </w:r>
    </w:p>
    <w:p w14:paraId="31121412" w14:textId="77777777" w:rsidR="006D2E21" w:rsidRPr="006D2E21" w:rsidRDefault="00B56867" w:rsidP="00B40D98">
      <w:pPr>
        <w:pStyle w:val="NormalWeb"/>
        <w:rPr>
          <w:i/>
          <w:sz w:val="22"/>
          <w:szCs w:val="22"/>
        </w:rPr>
      </w:pPr>
      <w:r w:rsidRPr="006D2E21">
        <w:rPr>
          <w:i/>
          <w:iCs/>
          <w:sz w:val="22"/>
          <w:szCs w:val="22"/>
        </w:rPr>
        <w:t xml:space="preserve">(8) </w:t>
      </w:r>
      <w:r w:rsidR="00B40D98" w:rsidRPr="006D2E21">
        <w:rPr>
          <w:i/>
          <w:sz w:val="22"/>
          <w:szCs w:val="22"/>
        </w:rPr>
        <w:t xml:space="preserve">A description of the market research conducted (see </w:t>
      </w:r>
      <w:hyperlink r:id="rId8" w:anchor="TopOfPage" w:tgtFrame="_blank" w:history="1">
        <w:r w:rsidR="00B40D98" w:rsidRPr="006D2E21">
          <w:rPr>
            <w:rStyle w:val="Hyperlink"/>
            <w:rFonts w:ascii="Calibri" w:hAnsi="Calibri"/>
            <w:i/>
            <w:sz w:val="22"/>
            <w:szCs w:val="22"/>
          </w:rPr>
          <w:t>Part 10</w:t>
        </w:r>
      </w:hyperlink>
      <w:r w:rsidR="00B40D98" w:rsidRPr="006D2E21">
        <w:rPr>
          <w:i/>
          <w:sz w:val="22"/>
          <w:szCs w:val="22"/>
        </w:rPr>
        <w:t>) and the results or a statement of the reason market research was not conducted.</w:t>
      </w:r>
      <w:r w:rsidR="006D2E21" w:rsidRPr="006D2E21">
        <w:rPr>
          <w:i/>
          <w:sz w:val="22"/>
          <w:szCs w:val="22"/>
        </w:rPr>
        <w:t xml:space="preserve">  </w:t>
      </w:r>
    </w:p>
    <w:p w14:paraId="1D98B8DA" w14:textId="77777777" w:rsidR="00B40D98" w:rsidRPr="00B40D98" w:rsidRDefault="006D2E21" w:rsidP="00B40D98">
      <w:pPr>
        <w:pStyle w:val="NormalWeb"/>
        <w:rPr>
          <w:sz w:val="22"/>
          <w:szCs w:val="22"/>
        </w:rPr>
      </w:pPr>
      <w:r w:rsidRPr="002A13D5">
        <w:rPr>
          <w:sz w:val="22"/>
          <w:szCs w:val="22"/>
        </w:rPr>
        <w:lastRenderedPageBreak/>
        <w:t xml:space="preserve">As stated in item 6 above, </w:t>
      </w:r>
      <w:r w:rsidR="005F0EA1">
        <w:rPr>
          <w:sz w:val="22"/>
          <w:szCs w:val="22"/>
        </w:rPr>
        <w:t xml:space="preserve">the contract was previously </w:t>
      </w:r>
      <w:r w:rsidR="00546A70">
        <w:rPr>
          <w:sz w:val="22"/>
          <w:szCs w:val="22"/>
        </w:rPr>
        <w:t>synopsized.</w:t>
      </w:r>
      <w:r w:rsidRPr="002A13D5">
        <w:rPr>
          <w:sz w:val="22"/>
          <w:szCs w:val="22"/>
        </w:rPr>
        <w:t xml:space="preserve">  </w:t>
      </w:r>
    </w:p>
    <w:p w14:paraId="06F85386" w14:textId="77777777" w:rsidR="00B56867" w:rsidRPr="006D2E21" w:rsidRDefault="00B56867" w:rsidP="001117E7">
      <w:pPr>
        <w:pStyle w:val="NormalWeb"/>
        <w:spacing w:before="0" w:beforeAutospacing="0" w:after="0" w:afterAutospacing="0"/>
        <w:rPr>
          <w:i/>
          <w:sz w:val="22"/>
          <w:szCs w:val="22"/>
        </w:rPr>
      </w:pPr>
      <w:r w:rsidRPr="006D2E21">
        <w:rPr>
          <w:i/>
          <w:iCs/>
          <w:sz w:val="22"/>
          <w:szCs w:val="22"/>
        </w:rPr>
        <w:t xml:space="preserve">(9) </w:t>
      </w:r>
      <w:r w:rsidR="00B40D98" w:rsidRPr="006D2E21">
        <w:rPr>
          <w:i/>
          <w:sz w:val="22"/>
          <w:szCs w:val="22"/>
        </w:rPr>
        <w:t>Any other facts supporting the use of other than full and open competition</w:t>
      </w:r>
      <w:r w:rsidRPr="006D2E21">
        <w:rPr>
          <w:i/>
          <w:sz w:val="22"/>
          <w:szCs w:val="22"/>
        </w:rPr>
        <w:t>.</w:t>
      </w:r>
      <w:r w:rsidR="006D2E21" w:rsidRPr="006D2E21">
        <w:rPr>
          <w:i/>
          <w:sz w:val="22"/>
          <w:szCs w:val="22"/>
        </w:rPr>
        <w:t xml:space="preserve"> </w:t>
      </w:r>
    </w:p>
    <w:p w14:paraId="7FA8E45D" w14:textId="77777777" w:rsidR="006D2E21" w:rsidRDefault="006D2E21" w:rsidP="001117E7">
      <w:pPr>
        <w:pStyle w:val="NormalWeb"/>
        <w:spacing w:before="0" w:beforeAutospacing="0" w:after="0" w:afterAutospacing="0"/>
        <w:rPr>
          <w:sz w:val="22"/>
          <w:szCs w:val="22"/>
        </w:rPr>
      </w:pPr>
    </w:p>
    <w:p w14:paraId="0D4DB5D4" w14:textId="77777777" w:rsidR="006D2E21" w:rsidRPr="00B40D98" w:rsidRDefault="006D2E21" w:rsidP="001117E7">
      <w:pPr>
        <w:pStyle w:val="NormalWeb"/>
        <w:spacing w:before="0" w:beforeAutospacing="0" w:after="0" w:afterAutospacing="0"/>
        <w:rPr>
          <w:sz w:val="22"/>
          <w:szCs w:val="22"/>
        </w:rPr>
      </w:pPr>
      <w:r>
        <w:rPr>
          <w:sz w:val="22"/>
          <w:szCs w:val="22"/>
        </w:rPr>
        <w:t>N/A</w:t>
      </w:r>
    </w:p>
    <w:p w14:paraId="79454B2C" w14:textId="77777777" w:rsidR="00B40D98" w:rsidRPr="006D2E21" w:rsidRDefault="00B56867" w:rsidP="00B40D98">
      <w:pPr>
        <w:pStyle w:val="NormalWeb"/>
        <w:rPr>
          <w:i/>
          <w:sz w:val="22"/>
          <w:szCs w:val="22"/>
        </w:rPr>
      </w:pPr>
      <w:r w:rsidRPr="006D2E21">
        <w:rPr>
          <w:i/>
          <w:iCs/>
          <w:sz w:val="22"/>
          <w:szCs w:val="22"/>
        </w:rPr>
        <w:t xml:space="preserve">(10) </w:t>
      </w:r>
      <w:r w:rsidR="00B40D98" w:rsidRPr="006D2E21">
        <w:rPr>
          <w:i/>
          <w:sz w:val="22"/>
          <w:szCs w:val="22"/>
        </w:rPr>
        <w:t>A listing of the sources, if any, that expressed, in writing, an interest in the acquisition.</w:t>
      </w:r>
    </w:p>
    <w:p w14:paraId="7261C9EC" w14:textId="77777777" w:rsidR="006D2E21" w:rsidRPr="00B40D98" w:rsidRDefault="006D2E21" w:rsidP="00B40D98">
      <w:pPr>
        <w:pStyle w:val="NormalWeb"/>
        <w:rPr>
          <w:sz w:val="22"/>
          <w:szCs w:val="22"/>
        </w:rPr>
      </w:pPr>
      <w:r>
        <w:rPr>
          <w:sz w:val="22"/>
          <w:szCs w:val="22"/>
        </w:rPr>
        <w:t>None.</w:t>
      </w:r>
    </w:p>
    <w:p w14:paraId="2C8C5527" w14:textId="77777777" w:rsidR="00B40D98" w:rsidRPr="006D2E21" w:rsidRDefault="00B40D98" w:rsidP="00B40D98">
      <w:pPr>
        <w:pStyle w:val="NormalWeb"/>
        <w:rPr>
          <w:i/>
          <w:sz w:val="22"/>
          <w:szCs w:val="22"/>
        </w:rPr>
      </w:pPr>
      <w:r w:rsidRPr="006D2E21">
        <w:rPr>
          <w:i/>
          <w:sz w:val="22"/>
          <w:szCs w:val="22"/>
        </w:rPr>
        <w:t>(11) A statement of the actions, if any, the agency may take to remove or overcome any barriers to competition before any subsequent acquisition for the supplies or services required.</w:t>
      </w:r>
    </w:p>
    <w:p w14:paraId="1EAB7ABC" w14:textId="32892A3A" w:rsidR="002F4A9C" w:rsidRDefault="006D2E21" w:rsidP="00B40D98">
      <w:pPr>
        <w:pStyle w:val="NormalWeb"/>
      </w:pPr>
      <w:r>
        <w:rPr>
          <w:sz w:val="22"/>
          <w:szCs w:val="22"/>
        </w:rPr>
        <w:t xml:space="preserve">This Justification for Other than Full and Open Competition is for services that are not currently available from another qualified source due to the reasons stated above.  The follow-on acquisition is being procured as full and open competition.  To overcome barriers to current acquisition for these services, market research was conducted by posting a sources sought synopsis to FedBizOpps and EPA’s Acquisition website on </w:t>
      </w:r>
      <w:r w:rsidR="00CE0CD1">
        <w:rPr>
          <w:sz w:val="22"/>
          <w:szCs w:val="22"/>
        </w:rPr>
        <w:t>November 6, 2018</w:t>
      </w:r>
      <w:r>
        <w:rPr>
          <w:sz w:val="22"/>
          <w:szCs w:val="22"/>
        </w:rPr>
        <w:t xml:space="preserve">, for which capability statements were submitted in response to the source sought synopsis.  The RFP was issued on </w:t>
      </w:r>
      <w:r w:rsidR="00CE0CD1">
        <w:rPr>
          <w:sz w:val="22"/>
          <w:szCs w:val="22"/>
        </w:rPr>
        <w:t>September 17, 2019</w:t>
      </w:r>
      <w:r w:rsidR="00871C31">
        <w:rPr>
          <w:sz w:val="22"/>
          <w:szCs w:val="22"/>
        </w:rPr>
        <w:t xml:space="preserve">, </w:t>
      </w:r>
      <w:r>
        <w:rPr>
          <w:sz w:val="22"/>
          <w:szCs w:val="22"/>
        </w:rPr>
        <w:t xml:space="preserve">with a submission date of </w:t>
      </w:r>
      <w:r w:rsidR="002A13D5">
        <w:rPr>
          <w:sz w:val="22"/>
          <w:szCs w:val="22"/>
        </w:rPr>
        <w:t>November 6</w:t>
      </w:r>
      <w:r w:rsidR="00CE0CD1">
        <w:rPr>
          <w:sz w:val="22"/>
          <w:szCs w:val="22"/>
        </w:rPr>
        <w:t>, 2019.</w:t>
      </w:r>
      <w:r>
        <w:rPr>
          <w:sz w:val="22"/>
          <w:szCs w:val="22"/>
        </w:rPr>
        <w:t xml:space="preserve">  </w:t>
      </w:r>
      <w:r w:rsidR="00340ECB">
        <w:rPr>
          <w:sz w:val="22"/>
          <w:szCs w:val="22"/>
        </w:rPr>
        <w:t>The resultant contract is</w:t>
      </w:r>
      <w:r>
        <w:rPr>
          <w:sz w:val="22"/>
          <w:szCs w:val="22"/>
        </w:rPr>
        <w:t xml:space="preserve"> anticipated to be awarded by </w:t>
      </w:r>
      <w:r w:rsidR="00A8173C">
        <w:rPr>
          <w:sz w:val="22"/>
          <w:szCs w:val="22"/>
        </w:rPr>
        <w:t>May 20</w:t>
      </w:r>
      <w:r w:rsidR="00CE0CD1">
        <w:rPr>
          <w:sz w:val="22"/>
          <w:szCs w:val="22"/>
        </w:rPr>
        <w:t>, 20</w:t>
      </w:r>
      <w:r w:rsidR="005B5C7E">
        <w:rPr>
          <w:sz w:val="22"/>
          <w:szCs w:val="22"/>
        </w:rPr>
        <w:t>20</w:t>
      </w:r>
      <w:r w:rsidR="00340ECB">
        <w:rPr>
          <w:sz w:val="22"/>
          <w:szCs w:val="22"/>
        </w:rPr>
        <w:t xml:space="preserve">.  </w:t>
      </w:r>
      <w:r w:rsidR="00F01FB5" w:rsidRPr="00C208C3">
        <w:t xml:space="preserve">This </w:t>
      </w:r>
      <w:r w:rsidR="00F01FB5">
        <w:t xml:space="preserve">3 </w:t>
      </w:r>
      <w:r w:rsidR="00A8173C">
        <w:t xml:space="preserve">and a half </w:t>
      </w:r>
      <w:r w:rsidR="00F01FB5">
        <w:t xml:space="preserve">month </w:t>
      </w:r>
      <w:r w:rsidR="00F01FB5" w:rsidRPr="00C208C3">
        <w:t xml:space="preserve">extension to the current contract is a result of the limited time between the end of the predecessor contract and the anticipated date of the new award, in conjunction with the technical expertise needed and the ongoing nature of the work, as well as the potential for delays, duplicative efforts and costs, and negative impacts on a broad array of programmatic efforts in the absence of such an action.  </w:t>
      </w:r>
    </w:p>
    <w:p w14:paraId="33902F4D" w14:textId="77777777" w:rsidR="002F4A9C" w:rsidRDefault="002F4A9C">
      <w:pPr>
        <w:rPr>
          <w:rFonts w:ascii="Times New Roman" w:eastAsia="Times New Roman" w:hAnsi="Times New Roman" w:cs="Times New Roman"/>
          <w:sz w:val="24"/>
          <w:szCs w:val="24"/>
        </w:rPr>
      </w:pPr>
      <w:r>
        <w:br w:type="page"/>
      </w:r>
    </w:p>
    <w:p w14:paraId="3D736EDF" w14:textId="77777777" w:rsidR="006D2E21" w:rsidRPr="00B40D98" w:rsidRDefault="006D2E21" w:rsidP="00B40D98">
      <w:pPr>
        <w:pStyle w:val="NormalWeb"/>
        <w:rPr>
          <w:sz w:val="22"/>
          <w:szCs w:val="22"/>
        </w:rPr>
      </w:pPr>
    </w:p>
    <w:p w14:paraId="107128F2" w14:textId="77777777" w:rsidR="00B40D98" w:rsidRPr="00871C31" w:rsidRDefault="00B40D98" w:rsidP="00B40D98">
      <w:pPr>
        <w:pStyle w:val="NormalWeb"/>
        <w:rPr>
          <w:i/>
          <w:sz w:val="22"/>
          <w:szCs w:val="22"/>
        </w:rPr>
      </w:pPr>
      <w:r w:rsidRPr="00871C31">
        <w:rPr>
          <w:i/>
          <w:sz w:val="22"/>
          <w:szCs w:val="22"/>
        </w:rPr>
        <w:t>(12) Contracting officer certification that the justification is accurate and complete to the best of the contracting officer’s knowledge and belief.</w:t>
      </w:r>
    </w:p>
    <w:p w14:paraId="603C8DC6" w14:textId="77777777" w:rsidR="00582971" w:rsidRPr="00B40D98" w:rsidRDefault="00582971" w:rsidP="001117E7">
      <w:pPr>
        <w:pStyle w:val="Heading2"/>
        <w:spacing w:before="0" w:after="0"/>
        <w:rPr>
          <w:rFonts w:ascii="Times New Roman" w:hAnsi="Times New Roman" w:cs="Times New Roman"/>
          <w:sz w:val="22"/>
          <w:szCs w:val="22"/>
        </w:rPr>
      </w:pPr>
      <w:r w:rsidRPr="00B40D98">
        <w:rPr>
          <w:rFonts w:ascii="Times New Roman" w:hAnsi="Times New Roman" w:cs="Times New Roman"/>
          <w:sz w:val="22"/>
          <w:szCs w:val="22"/>
        </w:rPr>
        <w:t>Technical Officer’s Certification</w:t>
      </w:r>
      <w:r w:rsidR="003F724C" w:rsidRPr="00B40D98">
        <w:rPr>
          <w:rFonts w:ascii="Times New Roman" w:hAnsi="Times New Roman" w:cs="Times New Roman"/>
          <w:sz w:val="22"/>
          <w:szCs w:val="22"/>
        </w:rPr>
        <w:t xml:space="preserve"> &amp; Concurrence</w:t>
      </w:r>
    </w:p>
    <w:p w14:paraId="0E17D82C" w14:textId="77777777" w:rsidR="00582971" w:rsidRPr="00B40D98" w:rsidRDefault="00582971" w:rsidP="001117E7">
      <w:pPr>
        <w:pStyle w:val="BodyText"/>
        <w:spacing w:after="0"/>
        <w:rPr>
          <w:sz w:val="22"/>
          <w:szCs w:val="22"/>
        </w:rPr>
      </w:pPr>
      <w:r w:rsidRPr="00B40D98">
        <w:rPr>
          <w:sz w:val="22"/>
          <w:szCs w:val="22"/>
        </w:rPr>
        <w:t>I certify that the facts and representations stated in this justification are complete and accurate which form the basis to award this requirement.</w:t>
      </w:r>
    </w:p>
    <w:p w14:paraId="43CCD166" w14:textId="77777777" w:rsidR="001117E7" w:rsidRDefault="001117E7" w:rsidP="001117E7">
      <w:pPr>
        <w:numPr>
          <w:ilvl w:val="12"/>
          <w:numId w:val="0"/>
        </w:numPr>
        <w:spacing w:after="0" w:line="240" w:lineRule="auto"/>
        <w:jc w:val="both"/>
        <w:rPr>
          <w:rFonts w:ascii="Times New Roman" w:hAnsi="Times New Roman" w:cs="Times New Roman"/>
          <w:color w:val="000000"/>
        </w:rPr>
      </w:pPr>
    </w:p>
    <w:p w14:paraId="2389FF7D" w14:textId="77777777" w:rsidR="009305D3" w:rsidRPr="00B40D98" w:rsidRDefault="009305D3" w:rsidP="001117E7">
      <w:pPr>
        <w:numPr>
          <w:ilvl w:val="12"/>
          <w:numId w:val="0"/>
        </w:numPr>
        <w:spacing w:after="0" w:line="240" w:lineRule="auto"/>
        <w:jc w:val="both"/>
        <w:rPr>
          <w:rFonts w:ascii="Times New Roman" w:hAnsi="Times New Roman" w:cs="Times New Roman"/>
          <w:color w:val="000000"/>
        </w:rPr>
      </w:pPr>
    </w:p>
    <w:p w14:paraId="001B1231" w14:textId="77777777" w:rsidR="009305D3" w:rsidRPr="006A7C0F" w:rsidRDefault="009305D3" w:rsidP="009305D3">
      <w:pPr>
        <w:numPr>
          <w:ilvl w:val="12"/>
          <w:numId w:val="0"/>
        </w:numPr>
        <w:spacing w:after="0" w:line="240" w:lineRule="auto"/>
        <w:jc w:val="both"/>
        <w:rPr>
          <w:rFonts w:ascii="Times New Roman" w:hAnsi="Times New Roman" w:cs="Times New Roman"/>
          <w:color w:val="000000"/>
          <w:u w:val="single"/>
        </w:rPr>
      </w:pPr>
      <w:r>
        <w:rPr>
          <w:rFonts w:ascii="Times New Roman" w:hAnsi="Times New Roman" w:cs="Times New Roman"/>
          <w:color w:val="000000"/>
          <w:u w:val="single"/>
        </w:rPr>
        <w:t>__</w:t>
      </w:r>
      <w:r w:rsidR="00026EFB">
        <w:rPr>
          <w:rFonts w:ascii="Times New Roman" w:hAnsi="Times New Roman" w:cs="Times New Roman"/>
          <w:color w:val="000000"/>
          <w:u w:val="single"/>
        </w:rPr>
        <w:t>//</w:t>
      </w:r>
      <w:r w:rsidRPr="006A7C0F">
        <w:rPr>
          <w:rFonts w:ascii="Times New Roman" w:hAnsi="Times New Roman" w:cs="Times New Roman"/>
          <w:color w:val="000000"/>
          <w:u w:val="single"/>
        </w:rPr>
        <w:t>_</w:t>
      </w:r>
      <w:r w:rsidR="00026EFB">
        <w:rPr>
          <w:rFonts w:ascii="Times New Roman" w:hAnsi="Times New Roman" w:cs="Times New Roman"/>
          <w:color w:val="000000"/>
          <w:u w:val="single"/>
        </w:rPr>
        <w:t>SIGNED //</w:t>
      </w:r>
      <w:r w:rsidRPr="006A7C0F">
        <w:rPr>
          <w:rFonts w:ascii="Times New Roman" w:hAnsi="Times New Roman" w:cs="Times New Roman"/>
          <w:color w:val="000000"/>
          <w:u w:val="single"/>
        </w:rPr>
        <w:t>_________________________</w:t>
      </w:r>
    </w:p>
    <w:p w14:paraId="2995829F" w14:textId="0FEE560E" w:rsidR="00871C31" w:rsidRDefault="00A8173C" w:rsidP="001117E7">
      <w:pPr>
        <w:numPr>
          <w:ilvl w:val="12"/>
          <w:numId w:val="0"/>
        </w:numPr>
        <w:spacing w:after="0" w:line="240" w:lineRule="auto"/>
        <w:jc w:val="both"/>
        <w:rPr>
          <w:rFonts w:ascii="Times New Roman" w:hAnsi="Times New Roman" w:cs="Times New Roman"/>
        </w:rPr>
      </w:pPr>
      <w:r>
        <w:rPr>
          <w:rFonts w:ascii="Times New Roman" w:hAnsi="Times New Roman" w:cs="Times New Roman"/>
        </w:rPr>
        <w:t>Tracy Schuck</w:t>
      </w:r>
    </w:p>
    <w:p w14:paraId="67C0D6AB" w14:textId="3D81B9A2" w:rsidR="001117E7" w:rsidRPr="00B40D98" w:rsidRDefault="00A8173C" w:rsidP="001117E7">
      <w:pPr>
        <w:numPr>
          <w:ilvl w:val="12"/>
          <w:numId w:val="0"/>
        </w:numPr>
        <w:spacing w:after="0" w:line="240" w:lineRule="auto"/>
        <w:jc w:val="both"/>
        <w:rPr>
          <w:rFonts w:ascii="Times New Roman" w:hAnsi="Times New Roman" w:cs="Times New Roman"/>
        </w:rPr>
      </w:pPr>
      <w:r>
        <w:rPr>
          <w:rFonts w:ascii="Times New Roman" w:hAnsi="Times New Roman" w:cs="Times New Roman"/>
        </w:rPr>
        <w:t>Cont</w:t>
      </w:r>
      <w:r w:rsidR="00871C31">
        <w:rPr>
          <w:rFonts w:ascii="Times New Roman" w:hAnsi="Times New Roman" w:cs="Times New Roman"/>
        </w:rPr>
        <w:t>ract Level Contr</w:t>
      </w:r>
      <w:r w:rsidR="00CD0A8C">
        <w:rPr>
          <w:rFonts w:ascii="Times New Roman" w:hAnsi="Times New Roman" w:cs="Times New Roman"/>
        </w:rPr>
        <w:t>acting Officer’s Representative (</w:t>
      </w:r>
      <w:r>
        <w:rPr>
          <w:rFonts w:ascii="Times New Roman" w:hAnsi="Times New Roman" w:cs="Times New Roman"/>
        </w:rPr>
        <w:t>CL</w:t>
      </w:r>
      <w:r w:rsidR="00CD0A8C">
        <w:rPr>
          <w:rFonts w:ascii="Times New Roman" w:hAnsi="Times New Roman" w:cs="Times New Roman"/>
        </w:rPr>
        <w:t>COR)</w:t>
      </w:r>
      <w:r w:rsidR="00582971" w:rsidRPr="00B40D98">
        <w:rPr>
          <w:rFonts w:ascii="Times New Roman" w:hAnsi="Times New Roman" w:cs="Times New Roman"/>
          <w:b/>
        </w:rPr>
        <w:tab/>
      </w:r>
      <w:r w:rsidR="00582971" w:rsidRPr="00B40D98">
        <w:rPr>
          <w:rFonts w:ascii="Times New Roman" w:hAnsi="Times New Roman" w:cs="Times New Roman"/>
          <w:b/>
        </w:rPr>
        <w:tab/>
      </w:r>
    </w:p>
    <w:p w14:paraId="6BF83C3B" w14:textId="77777777" w:rsidR="001117E7" w:rsidRPr="00B40D98" w:rsidRDefault="001117E7" w:rsidP="001117E7">
      <w:pPr>
        <w:pStyle w:val="Heading2"/>
        <w:spacing w:before="0" w:after="0"/>
        <w:rPr>
          <w:rFonts w:ascii="Times New Roman" w:hAnsi="Times New Roman" w:cs="Times New Roman"/>
          <w:sz w:val="22"/>
          <w:szCs w:val="22"/>
        </w:rPr>
      </w:pPr>
    </w:p>
    <w:p w14:paraId="2D2B82AB" w14:textId="77777777" w:rsidR="00AA644D" w:rsidRPr="00B40D98" w:rsidRDefault="00AA644D" w:rsidP="001117E7">
      <w:pPr>
        <w:pStyle w:val="Heading2"/>
        <w:spacing w:before="0" w:after="0"/>
        <w:rPr>
          <w:rFonts w:ascii="Times New Roman" w:hAnsi="Times New Roman" w:cs="Times New Roman"/>
          <w:sz w:val="22"/>
          <w:szCs w:val="22"/>
        </w:rPr>
      </w:pPr>
    </w:p>
    <w:p w14:paraId="7940AEDD" w14:textId="77777777" w:rsidR="00582971" w:rsidRPr="00B40D98" w:rsidRDefault="00582971" w:rsidP="001117E7">
      <w:pPr>
        <w:pStyle w:val="Heading2"/>
        <w:spacing w:before="0" w:after="0"/>
        <w:rPr>
          <w:rFonts w:ascii="Times New Roman" w:hAnsi="Times New Roman" w:cs="Times New Roman"/>
          <w:sz w:val="22"/>
          <w:szCs w:val="22"/>
        </w:rPr>
      </w:pPr>
      <w:r w:rsidRPr="00B40D98">
        <w:rPr>
          <w:rFonts w:ascii="Times New Roman" w:hAnsi="Times New Roman" w:cs="Times New Roman"/>
          <w:sz w:val="22"/>
          <w:szCs w:val="22"/>
        </w:rPr>
        <w:t>Contracting Officer’s Certification</w:t>
      </w:r>
      <w:r w:rsidR="003F724C" w:rsidRPr="00B40D98">
        <w:rPr>
          <w:rFonts w:ascii="Times New Roman" w:hAnsi="Times New Roman" w:cs="Times New Roman"/>
          <w:sz w:val="22"/>
          <w:szCs w:val="22"/>
        </w:rPr>
        <w:t xml:space="preserve"> </w:t>
      </w:r>
    </w:p>
    <w:p w14:paraId="41813ED5" w14:textId="77777777" w:rsidR="00582971" w:rsidRPr="00B40D98" w:rsidRDefault="00582971" w:rsidP="001117E7">
      <w:pPr>
        <w:pStyle w:val="BodyText"/>
        <w:spacing w:after="0"/>
        <w:rPr>
          <w:sz w:val="22"/>
          <w:szCs w:val="22"/>
        </w:rPr>
      </w:pPr>
      <w:r w:rsidRPr="00B40D98">
        <w:rPr>
          <w:sz w:val="22"/>
          <w:szCs w:val="22"/>
        </w:rPr>
        <w:t>I certify that this justification is accurate and complete to the best of my knowledge and belief.</w:t>
      </w:r>
    </w:p>
    <w:p w14:paraId="1654569C" w14:textId="77777777" w:rsidR="00582971" w:rsidRPr="00B40D98" w:rsidRDefault="00582971" w:rsidP="001117E7">
      <w:pPr>
        <w:numPr>
          <w:ilvl w:val="12"/>
          <w:numId w:val="0"/>
        </w:numPr>
        <w:spacing w:after="0" w:line="240" w:lineRule="auto"/>
        <w:jc w:val="both"/>
        <w:rPr>
          <w:rFonts w:ascii="Times New Roman" w:hAnsi="Times New Roman" w:cs="Times New Roman"/>
          <w:color w:val="000000"/>
        </w:rPr>
      </w:pPr>
    </w:p>
    <w:p w14:paraId="3C8B615C" w14:textId="77777777" w:rsidR="00AA644D" w:rsidRPr="00B40D98" w:rsidRDefault="00AA644D" w:rsidP="001117E7">
      <w:pPr>
        <w:numPr>
          <w:ilvl w:val="12"/>
          <w:numId w:val="0"/>
        </w:numPr>
        <w:spacing w:after="0" w:line="240" w:lineRule="auto"/>
        <w:jc w:val="both"/>
        <w:rPr>
          <w:rFonts w:ascii="Times New Roman" w:hAnsi="Times New Roman" w:cs="Times New Roman"/>
          <w:color w:val="000000"/>
        </w:rPr>
      </w:pPr>
    </w:p>
    <w:p w14:paraId="4A22D339" w14:textId="77777777" w:rsidR="00AA644D" w:rsidRPr="00B40D98" w:rsidRDefault="00AA644D" w:rsidP="001117E7">
      <w:pPr>
        <w:numPr>
          <w:ilvl w:val="12"/>
          <w:numId w:val="0"/>
        </w:numPr>
        <w:spacing w:after="0" w:line="240" w:lineRule="auto"/>
        <w:jc w:val="both"/>
        <w:rPr>
          <w:rFonts w:ascii="Times New Roman" w:hAnsi="Times New Roman" w:cs="Times New Roman"/>
          <w:color w:val="000000"/>
        </w:rPr>
      </w:pPr>
    </w:p>
    <w:p w14:paraId="350E1284" w14:textId="77777777" w:rsidR="006A7C0F" w:rsidRPr="006A7C0F" w:rsidRDefault="00CD0A8C" w:rsidP="006A7C0F">
      <w:pPr>
        <w:numPr>
          <w:ilvl w:val="12"/>
          <w:numId w:val="0"/>
        </w:numPr>
        <w:spacing w:after="0" w:line="240" w:lineRule="auto"/>
        <w:jc w:val="both"/>
        <w:rPr>
          <w:rFonts w:ascii="Times New Roman" w:hAnsi="Times New Roman" w:cs="Times New Roman"/>
          <w:color w:val="000000"/>
          <w:u w:val="single"/>
        </w:rPr>
      </w:pPr>
      <w:r>
        <w:rPr>
          <w:rFonts w:ascii="Times New Roman" w:hAnsi="Times New Roman" w:cs="Times New Roman"/>
          <w:color w:val="000000"/>
          <w:u w:val="single"/>
        </w:rPr>
        <w:t>___</w:t>
      </w:r>
      <w:r w:rsidR="006A7C0F" w:rsidRPr="006A7C0F">
        <w:rPr>
          <w:rFonts w:ascii="Times New Roman" w:hAnsi="Times New Roman" w:cs="Times New Roman"/>
          <w:color w:val="000000"/>
          <w:u w:val="single"/>
        </w:rPr>
        <w:t>_</w:t>
      </w:r>
      <w:r w:rsidR="00026EFB">
        <w:rPr>
          <w:rFonts w:ascii="Times New Roman" w:hAnsi="Times New Roman" w:cs="Times New Roman"/>
          <w:color w:val="000000"/>
          <w:u w:val="single"/>
        </w:rPr>
        <w:t>// SIGNED //</w:t>
      </w:r>
      <w:r w:rsidR="006A7C0F" w:rsidRPr="006A7C0F">
        <w:rPr>
          <w:rFonts w:ascii="Times New Roman" w:hAnsi="Times New Roman" w:cs="Times New Roman"/>
          <w:color w:val="000000"/>
          <w:u w:val="single"/>
        </w:rPr>
        <w:t>____________________________</w:t>
      </w:r>
    </w:p>
    <w:p w14:paraId="77E91F80" w14:textId="77777777" w:rsidR="00AA644D" w:rsidRPr="00B40D98" w:rsidRDefault="009305D3" w:rsidP="00AA644D">
      <w:pPr>
        <w:numPr>
          <w:ilvl w:val="12"/>
          <w:numId w:val="0"/>
        </w:numPr>
        <w:spacing w:after="0" w:line="240" w:lineRule="auto"/>
        <w:jc w:val="both"/>
        <w:rPr>
          <w:rFonts w:ascii="Times New Roman" w:hAnsi="Times New Roman" w:cs="Times New Roman"/>
        </w:rPr>
      </w:pPr>
      <w:r>
        <w:rPr>
          <w:rFonts w:ascii="Times New Roman" w:hAnsi="Times New Roman" w:cs="Times New Roman"/>
        </w:rPr>
        <w:t>Donna Reinhart</w:t>
      </w:r>
    </w:p>
    <w:p w14:paraId="456A71A1" w14:textId="77777777" w:rsidR="00582971" w:rsidRPr="00B40D98" w:rsidRDefault="00582971" w:rsidP="00AA644D">
      <w:pPr>
        <w:numPr>
          <w:ilvl w:val="12"/>
          <w:numId w:val="0"/>
        </w:numPr>
        <w:spacing w:after="0" w:line="240" w:lineRule="auto"/>
        <w:jc w:val="both"/>
        <w:rPr>
          <w:rFonts w:ascii="Times New Roman" w:hAnsi="Times New Roman" w:cs="Times New Roman"/>
          <w:b/>
        </w:rPr>
      </w:pPr>
      <w:r w:rsidRPr="00B40D98">
        <w:rPr>
          <w:rFonts w:ascii="Times New Roman" w:hAnsi="Times New Roman" w:cs="Times New Roman"/>
        </w:rPr>
        <w:t>Contracting Officer</w:t>
      </w:r>
      <w:r w:rsidRPr="00B40D98">
        <w:rPr>
          <w:rFonts w:ascii="Times New Roman" w:hAnsi="Times New Roman" w:cs="Times New Roman"/>
        </w:rPr>
        <w:tab/>
      </w:r>
      <w:r w:rsidRPr="00B40D98">
        <w:rPr>
          <w:rFonts w:ascii="Times New Roman" w:hAnsi="Times New Roman" w:cs="Times New Roman"/>
        </w:rPr>
        <w:tab/>
      </w:r>
    </w:p>
    <w:p w14:paraId="1F95F858" w14:textId="77777777" w:rsidR="00582971" w:rsidRPr="00B40D98" w:rsidRDefault="00582971" w:rsidP="001117E7">
      <w:pPr>
        <w:spacing w:after="0" w:line="240" w:lineRule="auto"/>
        <w:rPr>
          <w:rFonts w:ascii="Times New Roman" w:hAnsi="Times New Roman" w:cs="Times New Roman"/>
        </w:rPr>
      </w:pPr>
    </w:p>
    <w:p w14:paraId="57650D0D" w14:textId="77777777" w:rsidR="00B40D98" w:rsidRPr="00B40D98" w:rsidRDefault="00B40D98" w:rsidP="001117E7">
      <w:pPr>
        <w:spacing w:after="0" w:line="240" w:lineRule="auto"/>
        <w:rPr>
          <w:rFonts w:ascii="Times New Roman" w:hAnsi="Times New Roman" w:cs="Times New Roman"/>
        </w:rPr>
      </w:pPr>
    </w:p>
    <w:p w14:paraId="5AB297B1" w14:textId="77777777" w:rsidR="00B40D98" w:rsidRPr="00B40D98" w:rsidRDefault="00B40D98" w:rsidP="001117E7">
      <w:pPr>
        <w:spacing w:after="0" w:line="240" w:lineRule="auto"/>
        <w:rPr>
          <w:rFonts w:ascii="Times New Roman" w:hAnsi="Times New Roman" w:cs="Times New Roman"/>
          <w:b/>
          <w:i/>
        </w:rPr>
      </w:pPr>
      <w:r w:rsidRPr="00B40D98">
        <w:rPr>
          <w:rFonts w:ascii="Times New Roman" w:hAnsi="Times New Roman" w:cs="Times New Roman"/>
          <w:b/>
          <w:i/>
        </w:rPr>
        <w:t>Approving Official</w:t>
      </w:r>
    </w:p>
    <w:p w14:paraId="107257B1" w14:textId="77777777" w:rsidR="00B40D98" w:rsidRPr="00B40D98" w:rsidRDefault="00B40D98" w:rsidP="001117E7">
      <w:pPr>
        <w:spacing w:after="0" w:line="240" w:lineRule="auto"/>
        <w:rPr>
          <w:rFonts w:ascii="Times New Roman" w:hAnsi="Times New Roman" w:cs="Times New Roman"/>
        </w:rPr>
      </w:pPr>
      <w:r w:rsidRPr="00B40D98">
        <w:rPr>
          <w:rFonts w:ascii="Times New Roman" w:hAnsi="Times New Roman" w:cs="Times New Roman"/>
        </w:rPr>
        <w:t>One Level Above the Contracting Officer</w:t>
      </w:r>
    </w:p>
    <w:p w14:paraId="0D9AD47B" w14:textId="77777777" w:rsidR="00B40D98" w:rsidRPr="00B40D98" w:rsidRDefault="00B40D98" w:rsidP="001117E7">
      <w:pPr>
        <w:spacing w:after="0" w:line="240" w:lineRule="auto"/>
        <w:rPr>
          <w:rFonts w:ascii="Times New Roman" w:hAnsi="Times New Roman" w:cs="Times New Roman"/>
        </w:rPr>
      </w:pPr>
    </w:p>
    <w:p w14:paraId="07D6287C" w14:textId="77777777" w:rsidR="00B40D98" w:rsidRPr="00B40D98" w:rsidRDefault="00B40D98" w:rsidP="001117E7">
      <w:pPr>
        <w:spacing w:after="0" w:line="240" w:lineRule="auto"/>
        <w:rPr>
          <w:rFonts w:ascii="Times New Roman" w:hAnsi="Times New Roman" w:cs="Times New Roman"/>
        </w:rPr>
      </w:pPr>
    </w:p>
    <w:p w14:paraId="3DDBE08F" w14:textId="77777777" w:rsidR="00B40D98" w:rsidRPr="00B40D98" w:rsidRDefault="00B40D98" w:rsidP="001117E7">
      <w:pPr>
        <w:spacing w:after="0" w:line="240" w:lineRule="auto"/>
        <w:rPr>
          <w:rFonts w:ascii="Times New Roman" w:hAnsi="Times New Roman" w:cs="Times New Roman"/>
        </w:rPr>
      </w:pPr>
    </w:p>
    <w:p w14:paraId="37429AAD" w14:textId="77777777" w:rsidR="006A7C0F" w:rsidRPr="006A7C0F" w:rsidRDefault="00CD0A8C" w:rsidP="006A7C0F">
      <w:pPr>
        <w:numPr>
          <w:ilvl w:val="12"/>
          <w:numId w:val="0"/>
        </w:numPr>
        <w:spacing w:after="0" w:line="240" w:lineRule="auto"/>
        <w:jc w:val="both"/>
        <w:rPr>
          <w:rFonts w:ascii="Times New Roman" w:hAnsi="Times New Roman" w:cs="Times New Roman"/>
          <w:color w:val="000000"/>
          <w:u w:val="single"/>
        </w:rPr>
      </w:pPr>
      <w:r>
        <w:rPr>
          <w:rFonts w:ascii="Times New Roman" w:hAnsi="Times New Roman" w:cs="Times New Roman"/>
          <w:color w:val="000000"/>
          <w:u w:val="single"/>
        </w:rPr>
        <w:t>___</w:t>
      </w:r>
      <w:r w:rsidR="006A7C0F" w:rsidRPr="006A7C0F">
        <w:rPr>
          <w:rFonts w:ascii="Times New Roman" w:hAnsi="Times New Roman" w:cs="Times New Roman"/>
          <w:color w:val="000000"/>
          <w:u w:val="single"/>
        </w:rPr>
        <w:t>___</w:t>
      </w:r>
      <w:r w:rsidR="00026EFB">
        <w:rPr>
          <w:rFonts w:ascii="Times New Roman" w:hAnsi="Times New Roman" w:cs="Times New Roman"/>
          <w:color w:val="000000"/>
          <w:u w:val="single"/>
        </w:rPr>
        <w:t>//SIGNED //</w:t>
      </w:r>
      <w:r w:rsidR="006A7C0F" w:rsidRPr="006A7C0F">
        <w:rPr>
          <w:rFonts w:ascii="Times New Roman" w:hAnsi="Times New Roman" w:cs="Times New Roman"/>
          <w:color w:val="000000"/>
          <w:u w:val="single"/>
        </w:rPr>
        <w:t>_________________________</w:t>
      </w:r>
    </w:p>
    <w:p w14:paraId="1134B8B1" w14:textId="77777777" w:rsidR="00B40D98" w:rsidRPr="00B40D98" w:rsidRDefault="002F4A9C" w:rsidP="00B40D98">
      <w:pPr>
        <w:numPr>
          <w:ilvl w:val="12"/>
          <w:numId w:val="0"/>
        </w:numPr>
        <w:spacing w:after="0" w:line="240" w:lineRule="auto"/>
        <w:jc w:val="both"/>
        <w:rPr>
          <w:rFonts w:ascii="Times New Roman" w:hAnsi="Times New Roman" w:cs="Times New Roman"/>
        </w:rPr>
      </w:pPr>
      <w:r>
        <w:rPr>
          <w:rFonts w:ascii="Times New Roman" w:hAnsi="Times New Roman" w:cs="Times New Roman"/>
        </w:rPr>
        <w:t>Harold D. Hincks</w:t>
      </w:r>
    </w:p>
    <w:p w14:paraId="2E9E099C" w14:textId="77777777" w:rsidR="00B40D98" w:rsidRPr="00B40D98" w:rsidRDefault="009305D3" w:rsidP="00B40D98">
      <w:pPr>
        <w:spacing w:after="0" w:line="240" w:lineRule="auto"/>
        <w:rPr>
          <w:rFonts w:ascii="Times New Roman" w:hAnsi="Times New Roman" w:cs="Times New Roman"/>
        </w:rPr>
      </w:pPr>
      <w:r>
        <w:rPr>
          <w:rFonts w:ascii="Times New Roman" w:hAnsi="Times New Roman" w:cs="Times New Roman"/>
        </w:rPr>
        <w:t>C</w:t>
      </w:r>
      <w:r w:rsidR="002F4A9C">
        <w:rPr>
          <w:rFonts w:ascii="Times New Roman" w:hAnsi="Times New Roman" w:cs="Times New Roman"/>
        </w:rPr>
        <w:t>hief, Office of Water Branch</w:t>
      </w:r>
    </w:p>
    <w:p w14:paraId="7FE37F0F" w14:textId="77777777" w:rsidR="00B40D98" w:rsidRPr="00B40D98" w:rsidRDefault="00B40D98" w:rsidP="001117E7">
      <w:pPr>
        <w:spacing w:after="0" w:line="240" w:lineRule="auto"/>
        <w:rPr>
          <w:rFonts w:ascii="Times New Roman" w:hAnsi="Times New Roman" w:cs="Times New Roman"/>
        </w:rPr>
      </w:pPr>
    </w:p>
    <w:sectPr w:rsidR="00B40D98" w:rsidRPr="00B40D98" w:rsidSect="00AA644D">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50A21" w14:textId="77777777" w:rsidR="00EA4E28" w:rsidRDefault="00EA4E28" w:rsidP="001117E7">
      <w:pPr>
        <w:spacing w:after="0" w:line="240" w:lineRule="auto"/>
      </w:pPr>
      <w:r>
        <w:separator/>
      </w:r>
    </w:p>
  </w:endnote>
  <w:endnote w:type="continuationSeparator" w:id="0">
    <w:p w14:paraId="2F282126" w14:textId="77777777" w:rsidR="00EA4E28" w:rsidRDefault="00EA4E28" w:rsidP="0011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352A4" w14:textId="77777777" w:rsidR="00EA4E28" w:rsidRDefault="00EA4E28" w:rsidP="001117E7">
      <w:pPr>
        <w:spacing w:after="0" w:line="240" w:lineRule="auto"/>
      </w:pPr>
      <w:r>
        <w:separator/>
      </w:r>
    </w:p>
  </w:footnote>
  <w:footnote w:type="continuationSeparator" w:id="0">
    <w:p w14:paraId="6D2A3C06" w14:textId="77777777" w:rsidR="00EA4E28" w:rsidRDefault="00EA4E28" w:rsidP="00111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394CA" w14:textId="77777777" w:rsidR="003F05C0" w:rsidRPr="00B40D98" w:rsidRDefault="003F05C0" w:rsidP="001117E7">
    <w:pPr>
      <w:pStyle w:val="NormalWeb"/>
      <w:spacing w:before="0" w:beforeAutospacing="0" w:after="0" w:afterAutospacing="0"/>
      <w:jc w:val="center"/>
      <w:rPr>
        <w:b/>
      </w:rPr>
    </w:pPr>
    <w:r w:rsidRPr="00B40D98">
      <w:rPr>
        <w:b/>
      </w:rPr>
      <w:t>Justification for other than full and open competition</w:t>
    </w:r>
  </w:p>
  <w:p w14:paraId="328FDA88" w14:textId="77777777" w:rsidR="003F05C0" w:rsidRPr="00A54F87" w:rsidRDefault="003F05C0" w:rsidP="001117E7">
    <w:pPr>
      <w:pStyle w:val="NormalWeb"/>
      <w:spacing w:before="0" w:beforeAutospacing="0" w:after="0" w:afterAutospacing="0"/>
      <w:jc w:val="center"/>
      <w:rPr>
        <w:b/>
        <w:i/>
        <w:iCs/>
      </w:rPr>
    </w:pPr>
    <w:r w:rsidRPr="00A54F87">
      <w:rPr>
        <w:b/>
      </w:rPr>
      <w:t>FAR 6.302-1 – Only One Responsible Source</w:t>
    </w:r>
  </w:p>
  <w:p w14:paraId="53BF6261" w14:textId="77777777" w:rsidR="003F05C0" w:rsidRDefault="003F05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67"/>
    <w:rsid w:val="00026EFB"/>
    <w:rsid w:val="000349DB"/>
    <w:rsid w:val="00041AAA"/>
    <w:rsid w:val="00072DDB"/>
    <w:rsid w:val="0008476E"/>
    <w:rsid w:val="000A38B8"/>
    <w:rsid w:val="000E116F"/>
    <w:rsid w:val="001117E7"/>
    <w:rsid w:val="00117CF4"/>
    <w:rsid w:val="0012160A"/>
    <w:rsid w:val="001248BD"/>
    <w:rsid w:val="00186980"/>
    <w:rsid w:val="0023570D"/>
    <w:rsid w:val="0026087A"/>
    <w:rsid w:val="0026298C"/>
    <w:rsid w:val="002A13D5"/>
    <w:rsid w:val="002B0787"/>
    <w:rsid w:val="002C6BDC"/>
    <w:rsid w:val="002E2A04"/>
    <w:rsid w:val="002F4A9C"/>
    <w:rsid w:val="00304E8C"/>
    <w:rsid w:val="0033798F"/>
    <w:rsid w:val="00340ECB"/>
    <w:rsid w:val="00361230"/>
    <w:rsid w:val="003838E5"/>
    <w:rsid w:val="00391342"/>
    <w:rsid w:val="003D37D4"/>
    <w:rsid w:val="003E5FA5"/>
    <w:rsid w:val="003F05C0"/>
    <w:rsid w:val="003F724C"/>
    <w:rsid w:val="00401767"/>
    <w:rsid w:val="00434749"/>
    <w:rsid w:val="0045272D"/>
    <w:rsid w:val="0051637F"/>
    <w:rsid w:val="00543031"/>
    <w:rsid w:val="00546A70"/>
    <w:rsid w:val="00577203"/>
    <w:rsid w:val="00582971"/>
    <w:rsid w:val="00587C78"/>
    <w:rsid w:val="005B5C7E"/>
    <w:rsid w:val="005B7391"/>
    <w:rsid w:val="005F0EA1"/>
    <w:rsid w:val="005F20CF"/>
    <w:rsid w:val="005F54E5"/>
    <w:rsid w:val="006A01E7"/>
    <w:rsid w:val="006A7C0F"/>
    <w:rsid w:val="006B0721"/>
    <w:rsid w:val="006D2E21"/>
    <w:rsid w:val="007B0433"/>
    <w:rsid w:val="007C1F99"/>
    <w:rsid w:val="007C6FB5"/>
    <w:rsid w:val="00816255"/>
    <w:rsid w:val="008203FC"/>
    <w:rsid w:val="008350E7"/>
    <w:rsid w:val="00871C31"/>
    <w:rsid w:val="00887372"/>
    <w:rsid w:val="008940A5"/>
    <w:rsid w:val="009219AC"/>
    <w:rsid w:val="009305D3"/>
    <w:rsid w:val="00982185"/>
    <w:rsid w:val="00986985"/>
    <w:rsid w:val="00A15AD7"/>
    <w:rsid w:val="00A24B68"/>
    <w:rsid w:val="00A53373"/>
    <w:rsid w:val="00A54F87"/>
    <w:rsid w:val="00A8173C"/>
    <w:rsid w:val="00AA644D"/>
    <w:rsid w:val="00B40D98"/>
    <w:rsid w:val="00B53066"/>
    <w:rsid w:val="00B55FEA"/>
    <w:rsid w:val="00B56867"/>
    <w:rsid w:val="00BD6221"/>
    <w:rsid w:val="00BF026C"/>
    <w:rsid w:val="00C122D6"/>
    <w:rsid w:val="00C928A6"/>
    <w:rsid w:val="00CD0A8C"/>
    <w:rsid w:val="00CE0CD1"/>
    <w:rsid w:val="00E35248"/>
    <w:rsid w:val="00E40C6F"/>
    <w:rsid w:val="00E92883"/>
    <w:rsid w:val="00EA4E28"/>
    <w:rsid w:val="00EB0C3C"/>
    <w:rsid w:val="00EE760A"/>
    <w:rsid w:val="00F01FB5"/>
    <w:rsid w:val="00F412EA"/>
    <w:rsid w:val="00FB76B7"/>
    <w:rsid w:val="00FF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6DBA0"/>
  <w15:docId w15:val="{F7E8DA30-CF56-4335-AF91-71B4421F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787"/>
  </w:style>
  <w:style w:type="paragraph" w:styleId="Heading2">
    <w:name w:val="heading 2"/>
    <w:basedOn w:val="Normal"/>
    <w:next w:val="Normal"/>
    <w:link w:val="Heading2Char"/>
    <w:qFormat/>
    <w:rsid w:val="00582971"/>
    <w:pPr>
      <w:keepNext/>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82971"/>
    <w:pPr>
      <w:keepNext/>
      <w:autoSpaceDE w:val="0"/>
      <w:autoSpaceDN w:val="0"/>
      <w:adjustRightInd w:val="0"/>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68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82971"/>
    <w:rPr>
      <w:rFonts w:ascii="Arial" w:eastAsia="Times New Roman" w:hAnsi="Arial" w:cs="Arial"/>
      <w:b/>
      <w:bCs/>
      <w:i/>
      <w:iCs/>
      <w:sz w:val="28"/>
      <w:szCs w:val="28"/>
    </w:rPr>
  </w:style>
  <w:style w:type="character" w:customStyle="1" w:styleId="Heading3Char">
    <w:name w:val="Heading 3 Char"/>
    <w:basedOn w:val="DefaultParagraphFont"/>
    <w:link w:val="Heading3"/>
    <w:rsid w:val="00582971"/>
    <w:rPr>
      <w:rFonts w:ascii="Arial" w:eastAsia="Times New Roman" w:hAnsi="Arial" w:cs="Arial"/>
      <w:b/>
      <w:bCs/>
      <w:sz w:val="26"/>
      <w:szCs w:val="26"/>
    </w:rPr>
  </w:style>
  <w:style w:type="character" w:styleId="Hyperlink">
    <w:name w:val="Hyperlink"/>
    <w:basedOn w:val="DefaultParagraphFont"/>
    <w:rsid w:val="00582971"/>
    <w:rPr>
      <w:color w:val="0000FF"/>
      <w:u w:val="single"/>
    </w:rPr>
  </w:style>
  <w:style w:type="paragraph" w:styleId="BodyText">
    <w:name w:val="Body Text"/>
    <w:basedOn w:val="Normal"/>
    <w:link w:val="BodyTextChar"/>
    <w:rsid w:val="00582971"/>
    <w:pPr>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82971"/>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582971"/>
    <w:pPr>
      <w:spacing w:after="120"/>
      <w:ind w:left="360"/>
    </w:pPr>
  </w:style>
  <w:style w:type="character" w:customStyle="1" w:styleId="BodyTextIndentChar">
    <w:name w:val="Body Text Indent Char"/>
    <w:basedOn w:val="DefaultParagraphFont"/>
    <w:link w:val="BodyTextIndent"/>
    <w:uiPriority w:val="99"/>
    <w:semiHidden/>
    <w:rsid w:val="00582971"/>
  </w:style>
  <w:style w:type="paragraph" w:styleId="BodyTextFirstIndent2">
    <w:name w:val="Body Text First Indent 2"/>
    <w:basedOn w:val="BodyTextIndent"/>
    <w:link w:val="BodyTextFirstIndent2Char"/>
    <w:rsid w:val="00582971"/>
    <w:pPr>
      <w:autoSpaceDE w:val="0"/>
      <w:autoSpaceDN w:val="0"/>
      <w:adjustRightInd w:val="0"/>
      <w:spacing w:line="240" w:lineRule="auto"/>
      <w:ind w:firstLine="210"/>
    </w:pPr>
    <w:rPr>
      <w:rFonts w:ascii="Times New Roman" w:eastAsia="Times New Roman" w:hAnsi="Times New Roman" w:cs="Times New Roman"/>
      <w:sz w:val="20"/>
      <w:szCs w:val="20"/>
    </w:rPr>
  </w:style>
  <w:style w:type="character" w:customStyle="1" w:styleId="BodyTextFirstIndent2Char">
    <w:name w:val="Body Text First Indent 2 Char"/>
    <w:basedOn w:val="BodyTextIndentChar"/>
    <w:link w:val="BodyTextFirstIndent2"/>
    <w:rsid w:val="00582971"/>
    <w:rPr>
      <w:rFonts w:ascii="Times New Roman" w:eastAsia="Times New Roman" w:hAnsi="Times New Roman" w:cs="Times New Roman"/>
      <w:sz w:val="20"/>
      <w:szCs w:val="20"/>
    </w:rPr>
  </w:style>
  <w:style w:type="paragraph" w:customStyle="1" w:styleId="Level1">
    <w:name w:val="Level 1"/>
    <w:rsid w:val="003F724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11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7E7"/>
  </w:style>
  <w:style w:type="paragraph" w:styleId="Footer">
    <w:name w:val="footer"/>
    <w:basedOn w:val="Normal"/>
    <w:link w:val="FooterChar"/>
    <w:uiPriority w:val="99"/>
    <w:unhideWhenUsed/>
    <w:rsid w:val="00111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7E7"/>
  </w:style>
  <w:style w:type="paragraph" w:styleId="BalloonText">
    <w:name w:val="Balloon Text"/>
    <w:basedOn w:val="Normal"/>
    <w:link w:val="BalloonTextChar"/>
    <w:uiPriority w:val="99"/>
    <w:semiHidden/>
    <w:unhideWhenUsed/>
    <w:rsid w:val="00F41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2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85006">
      <w:bodyDiv w:val="1"/>
      <w:marLeft w:val="0"/>
      <w:marRight w:val="0"/>
      <w:marTop w:val="0"/>
      <w:marBottom w:val="0"/>
      <w:divBdr>
        <w:top w:val="none" w:sz="0" w:space="0" w:color="auto"/>
        <w:left w:val="none" w:sz="0" w:space="0" w:color="auto"/>
        <w:bottom w:val="none" w:sz="0" w:space="0" w:color="auto"/>
        <w:right w:val="none" w:sz="0" w:space="0" w:color="auto"/>
      </w:divBdr>
    </w:div>
    <w:div w:id="246965629">
      <w:bodyDiv w:val="1"/>
      <w:marLeft w:val="0"/>
      <w:marRight w:val="0"/>
      <w:marTop w:val="0"/>
      <w:marBottom w:val="0"/>
      <w:divBdr>
        <w:top w:val="none" w:sz="0" w:space="0" w:color="auto"/>
        <w:left w:val="none" w:sz="0" w:space="0" w:color="auto"/>
        <w:bottom w:val="none" w:sz="0" w:space="0" w:color="auto"/>
        <w:right w:val="none" w:sz="0" w:space="0" w:color="auto"/>
      </w:divBdr>
    </w:div>
    <w:div w:id="297611204">
      <w:bodyDiv w:val="1"/>
      <w:marLeft w:val="0"/>
      <w:marRight w:val="0"/>
      <w:marTop w:val="0"/>
      <w:marBottom w:val="0"/>
      <w:divBdr>
        <w:top w:val="none" w:sz="0" w:space="0" w:color="auto"/>
        <w:left w:val="none" w:sz="0" w:space="0" w:color="auto"/>
        <w:bottom w:val="none" w:sz="0" w:space="0" w:color="auto"/>
        <w:right w:val="none" w:sz="0" w:space="0" w:color="auto"/>
      </w:divBdr>
    </w:div>
    <w:div w:id="493497450">
      <w:bodyDiv w:val="1"/>
      <w:marLeft w:val="0"/>
      <w:marRight w:val="0"/>
      <w:marTop w:val="0"/>
      <w:marBottom w:val="0"/>
      <w:divBdr>
        <w:top w:val="none" w:sz="0" w:space="0" w:color="auto"/>
        <w:left w:val="none" w:sz="0" w:space="0" w:color="auto"/>
        <w:bottom w:val="none" w:sz="0" w:space="0" w:color="auto"/>
        <w:right w:val="none" w:sz="0" w:space="0" w:color="auto"/>
      </w:divBdr>
    </w:div>
    <w:div w:id="654797011">
      <w:bodyDiv w:val="1"/>
      <w:marLeft w:val="0"/>
      <w:marRight w:val="0"/>
      <w:marTop w:val="0"/>
      <w:marBottom w:val="0"/>
      <w:divBdr>
        <w:top w:val="none" w:sz="0" w:space="0" w:color="auto"/>
        <w:left w:val="none" w:sz="0" w:space="0" w:color="auto"/>
        <w:bottom w:val="none" w:sz="0" w:space="0" w:color="auto"/>
        <w:right w:val="none" w:sz="0" w:space="0" w:color="auto"/>
      </w:divBdr>
    </w:div>
    <w:div w:id="1052534901">
      <w:bodyDiv w:val="1"/>
      <w:marLeft w:val="0"/>
      <w:marRight w:val="0"/>
      <w:marTop w:val="0"/>
      <w:marBottom w:val="0"/>
      <w:divBdr>
        <w:top w:val="none" w:sz="0" w:space="0" w:color="auto"/>
        <w:left w:val="none" w:sz="0" w:space="0" w:color="auto"/>
        <w:bottom w:val="none" w:sz="0" w:space="0" w:color="auto"/>
        <w:right w:val="none" w:sz="0" w:space="0" w:color="auto"/>
      </w:divBdr>
    </w:div>
    <w:div w:id="1145585369">
      <w:bodyDiv w:val="1"/>
      <w:marLeft w:val="0"/>
      <w:marRight w:val="0"/>
      <w:marTop w:val="0"/>
      <w:marBottom w:val="0"/>
      <w:divBdr>
        <w:top w:val="none" w:sz="0" w:space="0" w:color="auto"/>
        <w:left w:val="none" w:sz="0" w:space="0" w:color="auto"/>
        <w:bottom w:val="none" w:sz="0" w:space="0" w:color="auto"/>
        <w:right w:val="none" w:sz="0" w:space="0" w:color="auto"/>
      </w:divBdr>
    </w:div>
    <w:div w:id="1220241285">
      <w:bodyDiv w:val="1"/>
      <w:marLeft w:val="0"/>
      <w:marRight w:val="0"/>
      <w:marTop w:val="0"/>
      <w:marBottom w:val="0"/>
      <w:divBdr>
        <w:top w:val="none" w:sz="0" w:space="0" w:color="auto"/>
        <w:left w:val="none" w:sz="0" w:space="0" w:color="auto"/>
        <w:bottom w:val="none" w:sz="0" w:space="0" w:color="auto"/>
        <w:right w:val="none" w:sz="0" w:space="0" w:color="auto"/>
      </w:divBdr>
    </w:div>
    <w:div w:id="1325931842">
      <w:bodyDiv w:val="1"/>
      <w:marLeft w:val="0"/>
      <w:marRight w:val="0"/>
      <w:marTop w:val="0"/>
      <w:marBottom w:val="0"/>
      <w:divBdr>
        <w:top w:val="none" w:sz="0" w:space="0" w:color="auto"/>
        <w:left w:val="none" w:sz="0" w:space="0" w:color="auto"/>
        <w:bottom w:val="none" w:sz="0" w:space="0" w:color="auto"/>
        <w:right w:val="none" w:sz="0" w:space="0" w:color="auto"/>
      </w:divBdr>
    </w:div>
    <w:div w:id="177886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rsite.hill.af.mil/reghtml/regs/far2afmcfars/fardfars/far/10.htm" TargetMode="External"/><Relationship Id="rId3" Type="http://schemas.openxmlformats.org/officeDocument/2006/relationships/webSettings" Target="webSettings.xml"/><Relationship Id="rId7" Type="http://schemas.openxmlformats.org/officeDocument/2006/relationships/hyperlink" Target="http://farsite.hill.af.mil/reghtml/regs/far2afmcfars/fardfars/far/05.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arsite.hill.af.mil/reghtml/regs/far2afmcfars/fardfars/far/05.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ctsuser</dc:creator>
  <cp:keywords/>
  <dc:description/>
  <cp:lastModifiedBy>Brett Walton</cp:lastModifiedBy>
  <cp:revision>2</cp:revision>
  <cp:lastPrinted>2014-03-21T12:51:00Z</cp:lastPrinted>
  <dcterms:created xsi:type="dcterms:W3CDTF">2020-06-02T23:08:00Z</dcterms:created>
  <dcterms:modified xsi:type="dcterms:W3CDTF">2020-06-02T23:08:00Z</dcterms:modified>
</cp:coreProperties>
</file>